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9790" w14:textId="77777777" w:rsidR="00E373BF" w:rsidRPr="00FA5061" w:rsidRDefault="00E373BF" w:rsidP="00E373BF">
      <w:pPr>
        <w:spacing w:after="0" w:line="240" w:lineRule="auto"/>
        <w:jc w:val="center"/>
        <w:rPr>
          <w:rFonts w:ascii="Arial" w:hAnsi="Arial" w:cs="Arial"/>
          <w:sz w:val="20"/>
          <w:szCs w:val="20"/>
        </w:rPr>
      </w:pPr>
      <w:r w:rsidRPr="00FA5061">
        <w:rPr>
          <w:rFonts w:ascii="Arial" w:hAnsi="Arial" w:cs="Arial"/>
          <w:b/>
          <w:sz w:val="20"/>
          <w:szCs w:val="20"/>
        </w:rPr>
        <w:t>Phụ lục</w:t>
      </w:r>
    </w:p>
    <w:p w14:paraId="07596960" w14:textId="77777777" w:rsidR="00E373BF" w:rsidRPr="00FA5061" w:rsidRDefault="00E373BF" w:rsidP="00E373BF">
      <w:pPr>
        <w:spacing w:after="0" w:line="240" w:lineRule="auto"/>
        <w:jc w:val="center"/>
        <w:rPr>
          <w:rFonts w:ascii="Arial" w:hAnsi="Arial" w:cs="Arial"/>
          <w:sz w:val="20"/>
          <w:szCs w:val="20"/>
        </w:rPr>
      </w:pPr>
      <w:r w:rsidRPr="00FA5061">
        <w:rPr>
          <w:rFonts w:ascii="Arial" w:hAnsi="Arial" w:cs="Arial"/>
          <w:b/>
          <w:sz w:val="20"/>
          <w:szCs w:val="20"/>
        </w:rPr>
        <w:t>VỀ VIỆC TÍNH TỔNG KHỐI LƯỢNG HOẶC THỂ TÍCH CÁC CHẤT MA TÚY TRONG MỘT SỐ TRƯỜNG HỢP CỤ THỂ</w:t>
      </w:r>
    </w:p>
    <w:p w14:paraId="0C2C373C" w14:textId="77777777" w:rsidR="00E373BF" w:rsidRPr="00FA5061" w:rsidRDefault="00E373BF" w:rsidP="00E373BF">
      <w:pPr>
        <w:spacing w:after="0" w:line="240" w:lineRule="auto"/>
        <w:jc w:val="center"/>
        <w:rPr>
          <w:rFonts w:ascii="Arial" w:hAnsi="Arial" w:cs="Arial"/>
          <w:sz w:val="20"/>
          <w:szCs w:val="20"/>
        </w:rPr>
      </w:pPr>
      <w:r w:rsidRPr="00FA5061">
        <w:rPr>
          <w:rFonts w:ascii="Arial" w:hAnsi="Arial" w:cs="Arial"/>
          <w:i/>
          <w:sz w:val="20"/>
          <w:szCs w:val="20"/>
        </w:rPr>
        <w:t>(Kèm theo Nghị định số 184/2025/NĐ-CP ngày 01 tháng 7 năm 2025 của Chính phủ)</w:t>
      </w:r>
    </w:p>
    <w:p w14:paraId="174FA47C" w14:textId="77777777" w:rsidR="00E373BF" w:rsidRPr="00FA5061" w:rsidRDefault="00E373BF" w:rsidP="00E373BF">
      <w:pPr>
        <w:spacing w:after="0" w:line="240" w:lineRule="auto"/>
        <w:jc w:val="center"/>
        <w:rPr>
          <w:rFonts w:ascii="Arial" w:hAnsi="Arial" w:cs="Arial"/>
          <w:sz w:val="20"/>
          <w:szCs w:val="20"/>
        </w:rPr>
      </w:pPr>
      <w:r w:rsidRPr="00FA5061">
        <w:rPr>
          <w:rFonts w:ascii="Arial" w:hAnsi="Arial" w:cs="Arial"/>
          <w:sz w:val="20"/>
          <w:szCs w:val="20"/>
        </w:rPr>
        <w:t>_____________</w:t>
      </w:r>
    </w:p>
    <w:p w14:paraId="6565D88D" w14:textId="77777777" w:rsidR="00E373BF" w:rsidRPr="00FA5061" w:rsidRDefault="00E373BF" w:rsidP="00E373BF">
      <w:pPr>
        <w:spacing w:after="0" w:line="240" w:lineRule="auto"/>
        <w:jc w:val="center"/>
        <w:rPr>
          <w:rFonts w:ascii="Arial" w:hAnsi="Arial" w:cs="Arial"/>
          <w:b/>
          <w:sz w:val="20"/>
          <w:szCs w:val="20"/>
        </w:rPr>
      </w:pPr>
    </w:p>
    <w:p w14:paraId="0F317936"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b/>
          <w:sz w:val="20"/>
          <w:szCs w:val="20"/>
        </w:rPr>
        <w:t>I. VỀ VIỆC TÍNH TỔNG KHỐI LƯỢNG HOẶC THỂ TÍCH CHẤT MA TÚY TRONG TRƯỜNG HỢP CÁC CHẤT MA TÚY ĐƯỢC QUY ĐỊNH TRONG CÙNG MỘT ĐIỂM THUỘC CÁC KHOẢN CỦA MỘT TRONG CÁC ĐIỀU 248, 249, 250, 251, 252 CỦA BỘ LUẬT HÌNH SỰ NĂM 2015 (QUY ĐỊNH TẠI ĐIỀU 4 CỦA NGHỊ ĐỊNH)</w:t>
      </w:r>
    </w:p>
    <w:p w14:paraId="7803B3E0"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mua bán trái phép 03 gamHeroine, 03 gam Cocaine, 03 gam Methamphetamine, 20 gam Amphetamine và 20 gam MDMA. Tổng khối lượng các chất ma túy trong trường hợp này được xác định như sau:</w:t>
      </w:r>
    </w:p>
    <w:p w14:paraId="41189F79"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251 của Bộ luật Hình sự năm 2015 (Tội mua bán trái phép chất ma túy), thìHeroine, Cocaine, Methamphetamine, Amphetamine và MDMA là các chất ma túy được quy định trong cùng một điểm tại các khoản của Điều 251 của Bộ luật Hình sự năm 2015 (cụ thể gồm: điểm i khoản 2; điểm b khoản 3; điểm b khoản 4 Điều 251), vì vậy sẽ áp dụng quy định tại Điều 4 của Nghị định để tính tổng khối lượng củaHeroine, Cocaine, Methamphetamine, Amphetamine và MDMA như sau:</w:t>
      </w:r>
    </w:p>
    <w:p w14:paraId="68AAAB9D"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Cộng khối lượng của từng chất lại với nhau để xác định tổng khối lượng của 05 chất ma túyHeroine, Cocaine, Methamphetamine, Amphetamine, MDMA là: 03 gam + 03 gam + 03 gam + 20 gam + 20 gam = 49 gam.</w:t>
      </w:r>
    </w:p>
    <w:p w14:paraId="76868AE3"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Đối chiếu tổng khối lượng của 05 chất ma túy với quy định tại điểm i khoản 2; hoặc điểm b khoản 3; hoặc điểm b khoản 4 Điều 251 của Bộ luật Hình sự năm 2015, thì trong trường hợp này tổng khối lượng của 05 chất ma túy tương đương với khối lượngHeroine, Cocaine, Methamphetamine, Amphetamine hoặc MDMA được quy định tại điểm b khoản 3 Điều 251 của Bộ luật Hình sự năm 2015.</w:t>
      </w:r>
    </w:p>
    <w:p w14:paraId="228B130A"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Như vậy trong trường hợp này tổng khối lượng của 05 chất ma túyHeroine, Cocaine, Methamphetamine, Amphetamine và MDMA thuộc trường hợp quy định tại điểm h khoản 3 Điều 251 của Bộ luật Hình sự năm 2015, cụ thể: </w:t>
      </w:r>
      <w:r w:rsidRPr="00FA5061">
        <w:rPr>
          <w:rFonts w:ascii="Arial" w:hAnsi="Arial" w:cs="Arial"/>
          <w:i/>
          <w:sz w:val="20"/>
          <w:szCs w:val="20"/>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4C6621C0"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b/>
          <w:sz w:val="20"/>
          <w:szCs w:val="20"/>
        </w:rPr>
        <w:t>II. VỀ VIỆC TÍNH TỔNG KHỐI LƯỢNG HOẶC THỂ TÍCH CÁC CHẤT MA TÚY TRONG TRƯỜNG HỢP CÁC CHẤT MA TÚY KHÔNG ĐƯỢC QUY ĐỊNH TRONG CÙNG MỘT ĐIỂM THUỘC CÁC KHOẢN CỦA MỘT TRONG CÁC ĐIỀU 248, 249, 250, 251, 252 CỦA BỘ LUẬT HÌNH SỰ NĂM 2015 (QUY ĐỊNH TẠI ĐIỀU 5 CỦA NGHỊ ĐỊNH)</w:t>
      </w:r>
    </w:p>
    <w:p w14:paraId="0529A8A8"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1. Trường hợp các chất ma túy đều có khối lượng hoặc thể tích dưới mức tối thiểu đối với từng chất đó theo quy định tại khoản 1 Điều 249 hoặc khoản 1 Điều 250 hoặc khoản 1 Điều 252 của Bộ luật Hình sự năm 2015.</w:t>
      </w:r>
    </w:p>
    <w:p w14:paraId="2A37E9B5"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chiếm đoạt 03 kilôgam quả thuốc phiện khô và 0,7 kilôgam quả thuốc phiện tươi. Tổng khối lượng của 02 chất ma túy được xác định như sau:</w:t>
      </w:r>
    </w:p>
    <w:p w14:paraId="3E0D92D4"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252 của Bộ luật Hình sự năm 2015 (Tội chiếm đoạt chất ma túy), thì 03 kilôgam quả thuốc phiện khô thuộc trường hợp dưới mức tối thiểu quy định tại điểm đ khoản 1 Điều 252 của Bộ luật Hình sự năm 2015, 0,7 kilôgam quả thuốc phiện tươi thuộc trường hợp dưới mức tối thiểu quy định tại điểm e khoản 1 Điều 252 của Bộ luật Hình sự năm 2015, vì vậy sẽ áp dụng quy định tại khoản 1 Điều 5 của Nghị định này để tính tổng khối lượng của 03 kilôgam quả thuốc phiện khô và 0,7 kilôgam quả thuốc phiện tươi như sau:</w:t>
      </w:r>
    </w:p>
    <w:p w14:paraId="29C6B332"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 từng chất ma túy so với mức tối thiểu đối với từng chất đó được quy định tại khoản 1 Điều 252 của Bộ luật Hình sự năm 2015:</w:t>
      </w:r>
    </w:p>
    <w:p w14:paraId="46D55962"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quy định tại điểm đ khoản 1 Điều 252 là 60% (03 kilôgam so với 05 kilôgam).</w:t>
      </w:r>
    </w:p>
    <w:p w14:paraId="01D2E4BD"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tươi so với mức tối thiểu đối với quả thuốc phiện tươi quy định tại điểm e khoản 1 Điều 252 là 70% (0,7 kilôgam so với 01 kilôgam).</w:t>
      </w:r>
    </w:p>
    <w:p w14:paraId="129DDBDD"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Cộng tỷ lệ phần trăm về khối lượng của quả thuốc phiện khô và quả thuốc phiện tươi lại với nhau để xác định tổng tỷ lệ phần trăm về khối lượng của cả hai chất ma túy là: 60% + 70% = 130% (thuộc trường hợp từ 100% trở lên). Vì tổng tỷ lệ phần trăm về khối lượng của quả thuốc phiện khô và quả thuốc phiện tươi so với mức tối thiểu đối với từng chất đó được quy định tại khoản 1 Điều 252 của Bộ luật Hình sự năm 2015 là trên 100%, như vậy phải tiếp tục tính tổng tỷ lệ phần trăm về khối lượng của quả thuốc phiện khô và quả thuốc phiện tươi so với mức tối thiểu đối với từng chất đó quy định tại khoản 2 Điều 252 của Bộ luật Hình sự năm 2015 để xác định tổng khối lượng của quả thuốc phiện khô và quả thuốc phiện tươi có thuộc trường hợp quy định tại khoản 2 Điều 252 của Bộ luật Hình sự năm 2015 hay không, cụ thể:</w:t>
      </w:r>
    </w:p>
    <w:p w14:paraId="4D085F6A"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được quy định tại điểm i khoản 2 Điều 252 là 06% (03 kilôgam so với 50 kilôgam).</w:t>
      </w:r>
    </w:p>
    <w:p w14:paraId="554143D7"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tươi so với mức tối thiểu đối với quả thuốc phiện tươi được quy định tại điểm k khoản 2 Điều 252 là 07% (0,7 kilôgam so với 10 kilôgam).</w:t>
      </w:r>
    </w:p>
    <w:p w14:paraId="43D4833F"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Tổng tỷ lệ phần trăm về khối lượng của quả thuốc phiện khô và quả thuốc phiện tươi so với mức tối thiểu đối với từng chất đó được quy định tại khoản 2 Điều 252 của Bộ luật Hình sự năm 2015 là: 06% + 07% = 13% (thuộc trường hợp dưới 100%).</w:t>
      </w:r>
    </w:p>
    <w:p w14:paraId="4ABBD031"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Vì tổng tỷ lệ phần trăm về khối lượng của quả thuốc phiện khô và quả thuốc phiện tươi so với mức tối thiểu đối với từng chất đó quy định tại khoản 2 Điều 252 của Bộ luật Hình sự năm 2015 là dưới 100% nên tổng khối lượng của quả thuốc phiện khô và quả thuốc phiện tươi chỉ thuộc trường hợp quy định tại điểm i khoản 1 Điều 252 của Bộ luật Hình sự năm 2015, cụ thể: </w:t>
      </w:r>
      <w:r w:rsidRPr="00FA5061">
        <w:rPr>
          <w:rFonts w:ascii="Arial" w:hAnsi="Arial" w:cs="Arial"/>
          <w:i/>
          <w:sz w:val="20"/>
          <w:szCs w:val="20"/>
        </w:rPr>
        <w:t>“i) Có 02 chất ma túy trở lên mà tổng khối lượng hoặc thể tích của các chất đó tương đương với khối lượng hoặc thể tích chất ma túy quy định tại một trong các điểm từ điểm b đến điểm h khoản này.</w:t>
      </w:r>
    </w:p>
    <w:p w14:paraId="222ECC82"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i/>
          <w:sz w:val="20"/>
          <w:szCs w:val="20"/>
        </w:rPr>
        <w:t xml:space="preserve">2. </w:t>
      </w:r>
      <w:r w:rsidRPr="00FA5061">
        <w:rPr>
          <w:rFonts w:ascii="Arial" w:hAnsi="Arial" w:cs="Arial"/>
          <w:sz w:val="20"/>
          <w:szCs w:val="20"/>
        </w:rPr>
        <w:t>Trường hợp các chất ma túy đều có khối lượng hoặc thể tích dưới mức tối thiểu đối với từng chất đó theo quy định tại khoản 2 của một trong các Điều 249, 250, 252 của Bộ luật Hình sự năm 2015, trong đó có ít nhất một chất ma túy có khối lượng hoặc thể tích thuộc trường hợp quy định tại khoản 1 của một trong các điều này.</w:t>
      </w:r>
    </w:p>
    <w:p w14:paraId="78684F7F"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xml:space="preserve">Ví dụ: Một người tàng trữ trái phép 400 gam cao côca, 900 gam lá cây côca, 45 kilôgam quả thuốc phiện khô, 900 gam quả thuốc phiện tươi, 95 mililít chất ma túy khác </w:t>
      </w:r>
      <w:r w:rsidRPr="00FA5061">
        <w:rPr>
          <w:rFonts w:ascii="Arial" w:hAnsi="Arial" w:cs="Arial"/>
          <w:i/>
          <w:sz w:val="20"/>
          <w:szCs w:val="20"/>
        </w:rPr>
        <w:t>ở</w:t>
      </w:r>
      <w:r w:rsidRPr="00FA5061">
        <w:rPr>
          <w:rFonts w:ascii="Arial" w:hAnsi="Arial" w:cs="Arial"/>
          <w:sz w:val="20"/>
          <w:szCs w:val="20"/>
        </w:rPr>
        <w:t xml:space="preserve"> thể lỏng. Tổng khối lượng hoặc thể tích của 05 chất ma túy được xác định như sau:</w:t>
      </w:r>
    </w:p>
    <w:p w14:paraId="54BEA4C9"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249 của Bộ luật Hình sự năm 2015 (tội tàng trữ trái phép chất ma túy), thì lá cây côca và quả thuốc phiện tươi có khối lượng thuộc trường hợp dưới mức tối thiểu theo quy định tại điểm d và điểm e khoản 1 Điều 249 của Bộ luật Hình sự năm 2015; cao côca, quả thuốc phiện khô và chất ma túy khác ở thể lỏng có khối lượng hoặc thể tích thuộc trường hợp quy định tại điểm b, đ và h khoản 1 Điều 249 của Bộ luật Hình sự năm 2015. Vì năm chất ma túy đều có khối lượng hoặc thể tích dưới mức tối thiểu đối với từng chất theo quy định tại khoản 2 và có 03 chất ma túy có khối lượng hoặc thể tích thuộc trường hợp quy định tại khoản 1 Điều 249 của Bộ luật Hình sự năm 2015, vì vậy sẽ áp dụng quy định tại khoản 2 Điều 5 của Nghị định này để tính tổng khối lượng hoặc thể tích của cả năm chất ma túy như sau:</w:t>
      </w:r>
    </w:p>
    <w:p w14:paraId="30C4915B"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hoặc thể tích của cao côca, lá cây côca, quả thuốc phiện khô, quả thuốc phiện tươi, chất ma túy khác ở thể lỏng so với mức tối thiểu đối với từng chất đó được quy định tại khoản 2 Điều 249 của Bộ luật Hình sự năm 2015:</w:t>
      </w:r>
    </w:p>
    <w:p w14:paraId="00091DD7"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cao côca so với mức tối thiểu đối với cao côca được quy định tại điểm e khoản 2 Điều 249 của Bộ luật Hình sự năm 2015 là 80% (400 gam so với 500 gam).</w:t>
      </w:r>
    </w:p>
    <w:p w14:paraId="78CA630B"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lá cây côca so với mức tối thiểu đối với lá cây côca được quy định tại điểm h khoản 2 Điều 249 của Bộ luật Hình sự năm 2015 là 9% (900 gam so với 10 kilôgam).</w:t>
      </w:r>
    </w:p>
    <w:p w14:paraId="0746A811"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được quy định tại điểm i khoản 2 Điều 249 của Bộ luật Hình sự năm 2015 là 90% (45 kilôgam so với 50 kilôgam).</w:t>
      </w:r>
    </w:p>
    <w:p w14:paraId="3CAA5A3C"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tươi so với mức tối thiểu đối với quả thuốc phiện tươi quy định tại điểm k khoản 2 Điều 249 của Bộ luật Hình sự năm 2015 là 9% (900 gam so với 10 kilôgam).</w:t>
      </w:r>
    </w:p>
    <w:p w14:paraId="6E548344"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Tỷ lệ phần trăm về thể tích của chất ma túy khác ở thể lỏng so với mức tối thiểu đối với các chất ma túy khác ở thể lỏng được quy định tại điểm m khoản 2 Điều 249 của Bộ luật Hình sự năm 2015 là 95% (95 mililít so với 100 mililít).</w:t>
      </w:r>
    </w:p>
    <w:p w14:paraId="3B3CAEE1"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hoặc thể tích của 05 chất cao côca, lá cây côca, quả thuốc phiện khô, quả thuốc phiện tươi và chất ma túy khác ở thể lỏng lại với nhau để xác định tổng tỷ lệ phần trăm về khối lượng hoặc thể tích của cả 05 chất ma túy là: 80% + 9% + 90% + 9% + 95% = 283% (thuộc trường hợp từ 100% trở lên). Vì tổng tỷ lệ phần trăm về khối lượng hoặc thể tích của 05 chất ma túy so với mức tối thiểu đối với từng chất đó được quy định tại khoản 2 Điều 249 của Bộ luật Hình sự năm 2015 là trên 100%, như vậy phải tiếp tục tính tổng tỷ lệ phần trăm về khối lượng hoặc thể tích của 05 chất ma túy so với mức tối thiểu đối với từng chất đó được quy định tại khoản 3 Điều 249 của Bộ luật Hình sự năm 2015, để xác định tổng khối lượng hoặc thể tích của 05 chất ma túy có thuộc trường hợp theo quy định tại khoản 3 Điều 249 của Bộ luật Hình sự năm 2015 hay không, cụ thể:</w:t>
      </w:r>
    </w:p>
    <w:p w14:paraId="220DCC3A"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cao côca so với mức tối thiểu đối với cao côca được quy định tại điểm a khoản 3 Điều 249 của Bộ luật Hình sự năm 2015 là 40% (400 gam so với 01 kilôgam).</w:t>
      </w:r>
    </w:p>
    <w:p w14:paraId="0660826C"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lá cây côca so với mức tối thiểu đối với lá cây côca được quy định tại điểm c khoản 3 Điều 249 của Bộ luật Hình sự năm 2015 là 3,6% (900 gam so với 25 kilôgam).</w:t>
      </w:r>
    </w:p>
    <w:p w14:paraId="3F78294C"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được quy định tại điểm d khoản 3 Điều 249 của Bộ luật Hình sự năm 2015 là 22,5% (45 kilôgam so với 200 kilôgam).</w:t>
      </w:r>
    </w:p>
    <w:p w14:paraId="7FD52E0F"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tươi so với mức tối thiểu đối với quả thuốc phiện tươi được quy định tại điểm đ khoản 3 Điều 249 của Bộ luật Hình sự năm 2015 là 1,8% (900 gam so với 50 kilôgam).</w:t>
      </w:r>
    </w:p>
    <w:p w14:paraId="3054F368"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thể tích của chất ma túy khác ở thể lỏng so với mức tối thiểu đối với các chất ma túy khác ở thể lỏng được quy định tại điểm g khoản 3 Điều 249 của Bộ luật Hình sự năm 2015 là 38% (95 mililít so với 250 mililít).</w:t>
      </w:r>
    </w:p>
    <w:p w14:paraId="460A9D4B"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Tổng tỷ lệ phần trăm về khối lượng hoặc thể tích của 05 chất cao côca, lá cây côca, quả thuốc phiện khô, quả thuốc phiện tươi và các chất ma túy khác ở thể lỏng so với mức tối thiểu đối với từng chất đó được quy định tại khoản 3 Điều 249 của Bộ luật Hình sự năm 2015 là: 40% + 3,6% + 22,5% + 1,8% + 38% = 105,9% (thuộc trường hợp từ 100% trở lên). Như vậy, phải tiếp tục tính tổng tỷ lệ phần trăm về khối lượng hoặc thể tích của 05 chất ma túy so với mức tối thiểu đối với từng chất đó được quy định tại khoản 4 Điều 249 của Bộ luật Hình sự năm 2015 để xác định tổng khối lượng hoặc thể tích của 05 chất ma túy có thuộc trường hợp theo quy định tại khoản 4 Điều 249 của Bộ luật Hình sự năm 2015 hay không, cụ thể:</w:t>
      </w:r>
    </w:p>
    <w:p w14:paraId="20412F26"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khối lượng của cao côca so với mức tối thiểu đối với cao côca được quy định tại điểm a khoản 4 Điều 249 của Bộ luật Hình sự năm 2015 là 8% (400 gam so với 05 kilôgam).</w:t>
      </w:r>
    </w:p>
    <w:p w14:paraId="7FBA83AA"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khối lượng của lá cây côca so với mức tối thiểu đối với lá cây côca được quy định tại điểm c khoản 4 Điều 249 của Bộ luật Hình sự năm 2015 là 1,2% (900 gam so với 75 kilôgam).</w:t>
      </w:r>
    </w:p>
    <w:p w14:paraId="315A202C"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khối lượng của quả thuốc phiện khô so với mức tối thiểu đối với quả thuốc phiện khô được quy định tại điểm d khoản 4 Điều 249 của Bộ luật Hình sự năm 2015 là 7,5% (45 kilôgam so với 600 kilôgam).</w:t>
      </w:r>
    </w:p>
    <w:p w14:paraId="699104EF"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khối lượng của quả thuốc phiện tươi so với mức tối thiểu đối với quả thuốc phiện tươi được quy định tại điểm đ khoản 4 Điều 249 của Bộ luật Hình sự năm 2015 là 0,6% (900 gam so với 150 kilôgam).</w:t>
      </w:r>
    </w:p>
    <w:p w14:paraId="7B773391"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Tỷ lệ phần trăm về thể tích của chất ma túy khác ở thể lỏng so với mức tối thiểu đối với các chất ma túy khác ở thể lỏng được quy định tại điểm g khoản 4 Điều 249 của Bộ luật Hình sự năm 2015 là 12,6% (95 mililít so với 750 mililít).</w:t>
      </w:r>
    </w:p>
    <w:p w14:paraId="27022D59"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Vì tổng tỷ lệ phần trăm về khối lượng hoặc thể tích của 05 chất cao côca, lá cây côca, quả thuốc phiện khô, quả thuốc phiện tươi và chất ma túy khác ở thể lỏng so với mức tối thiểu đối với từng chất đó được quy định tại khoản 4 Điều 249 của Bộ luật Hình sự năm 2015 là: 8% + 1,2% + 7,5% + 0,6% + 12,6% = 29,9% (thuộc trường hợp dưới 100%). Như vậy, tổng khối lượng hoặc thể tích của 05 chất cao côca, lá cây côca, quả thuốc phiện khô, quả thuốc phiện tươi </w:t>
      </w:r>
      <w:r w:rsidRPr="00FA5061">
        <w:rPr>
          <w:rFonts w:ascii="Arial" w:hAnsi="Arial" w:cs="Arial"/>
          <w:sz w:val="20"/>
          <w:szCs w:val="20"/>
        </w:rPr>
        <w:lastRenderedPageBreak/>
        <w:t xml:space="preserve">và chất ma túy khác ở thể lỏng không thuộc trường hợp theo quy định tại khoản 4 Điều 249 mà thuộc trường hợp theo quy định tại điểm h khoản 3 Điều 249 của Bộ luật Hình sự năm 2015, cụ thể: </w:t>
      </w:r>
      <w:r w:rsidRPr="00FA5061">
        <w:rPr>
          <w:rFonts w:ascii="Arial" w:hAnsi="Arial" w:cs="Arial"/>
          <w:i/>
          <w:sz w:val="20"/>
          <w:szCs w:val="20"/>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199289EC"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i/>
          <w:sz w:val="20"/>
          <w:szCs w:val="20"/>
        </w:rPr>
        <w:t xml:space="preserve">3. </w:t>
      </w:r>
      <w:r w:rsidRPr="00FA5061">
        <w:rPr>
          <w:rFonts w:ascii="Arial" w:hAnsi="Arial" w:cs="Arial"/>
          <w:sz w:val="20"/>
          <w:szCs w:val="20"/>
        </w:rPr>
        <w:t>Trường hợp các chất ma túy đều có khối lượng hoặc thể tích dưới mức tối thiểu đối với từng chất đó theo quy định tại khoản 2 Điều 248 hoặc khoản 2 Điều 251 của Bộ luật Hình sự năm 2015.</w:t>
      </w:r>
    </w:p>
    <w:p w14:paraId="25C1ED5D"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mua bán trái phép 02 gamHeroinee và 200 gam nhựa thuốc phiện. Tổng khối lượng của 02 chất ma túy được xác định như sau:</w:t>
      </w:r>
    </w:p>
    <w:p w14:paraId="1BBBDF54"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251 của Bộ luật Hình sự năm 2015 (Tội mua bán trái phép chất ma túy), thì 02 gamHeroinee và 200 gam nhựa thuốc phiện đều thuộc trường hợp dưới mức tối thiểu đối với từng chất đó theo quy định tại khoản 2 Điều 251 của Bộ luật Hình sự năm 2015, vì vậy sẽ áp dụng quy định tại khoản 2 Điều 5 của Nghị định này để tính tổng khối lượng của cả hai chất ma túy như sau:</w:t>
      </w:r>
    </w:p>
    <w:p w14:paraId="11736B7E"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củaHeroinee và nhựa thuốc phiện so với mức tối thiểu đối với từng chất đó được quy định tại khoản 2 Điều 251 của Bộ luật Hình sự năm 2015:</w:t>
      </w:r>
    </w:p>
    <w:p w14:paraId="13EF6950"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củaHeroinee so với mức tối thiểu đối vớiHeroinee được quy định tại điểm i khoản 2 Điều 251 của Bộ luật Hình sự năm 2015 là 40% (02 gam so với 05 gam).</w:t>
      </w:r>
    </w:p>
    <w:p w14:paraId="62A7DFCD"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nhựa thuốc phiện so với mức tối thiểu đối với nhựa thuốc phiện được quy định tại điểm h khoản 2 Điều 251 của Bộ luật Hình sự năm 2015 là 40% (200 gam so với 500 gam).</w:t>
      </w:r>
    </w:p>
    <w:p w14:paraId="5D41AF16"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củaHeroinee và nhựa thuốc phiện lại với nhau để xác định tổng tỷ lệ phần trăm về khối lượng của cả 02 chất ma túy là: 40% + 40% = 80% (thuộc trường hợp dưới 100%).</w:t>
      </w:r>
    </w:p>
    <w:p w14:paraId="3BE6C33F"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Xác định điểm, khoản, điều luật: Vì tổng tỷ lệ phần trăm về khối lượng củaHeroinee và nhựa thuốc phiện so với mức tối thiểu đối với từng chất đó được quy định tại khoản 2 Điều 251 của Bộ luật Hình sự năm 2015 là dưới 100% nên tổng khối lượng củaHeroinee và nhựa thuốc phiện trong trường hợp này chỉ thuộc trường hợp quy định tại khoản 1 Điều 251.</w:t>
      </w:r>
    </w:p>
    <w:p w14:paraId="1EDD2314"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i/>
          <w:sz w:val="20"/>
          <w:szCs w:val="20"/>
        </w:rPr>
        <w:t xml:space="preserve">4. </w:t>
      </w:r>
      <w:r w:rsidRPr="00FA5061">
        <w:rPr>
          <w:rFonts w:ascii="Arial" w:hAnsi="Arial" w:cs="Arial"/>
          <w:sz w:val="20"/>
          <w:szCs w:val="20"/>
        </w:rPr>
        <w:t>Trường hợp các chất ma túy đều có khối lượng hoặc thể tích dưới mức tối thiểu đối với từng chất đó theo quy định tại khoản 3 của một trong các Điều 248, 249, 250, 251, 252 của Bộ luật Hình sự năm 2015, trong đó có ít nhất một chất ma túy có khối lượng hoặc thể tích thuộc trường hợp quy định tại khoản 2 của một trong các điều này....</w:t>
      </w:r>
    </w:p>
    <w:p w14:paraId="24976BEB"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sản xuất 400 gam nhựa thuốc phiện và 09 gamHeroinee. Tổng khối lượng của 02 chất ma túy được xác định như sau:</w:t>
      </w:r>
    </w:p>
    <w:p w14:paraId="6013CBF1"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248 của Bộ luật Hình sự năm 2015 (Tội sản xuất trái phép chất ma túy), thì 400 gam nhựa thuốc phiện thuộc trường hợp quy định tại khoản 1, còn 09 gamHeroinee thuộc trường hợp quy định tại điểm e khoản 2 Điều 248 của Bộ luật Hình sự năm 2015. Vì khối lượng của cả hai chất ma túy đều dưới mức tối thiểu đối với từng chất đó theo quy định tại khoản 3 và khối lượngHeroinee thuộc trường hợp quy định tại khoản 2 Điều 248 của Bộ luật Hình sự năm 2015, vì vậy sẽ áp dụng quy định tại khoản 3 Điều 5 của Nghị định này để tính tổng khối lượng của cả hai chất ma túy như sau:</w:t>
      </w:r>
    </w:p>
    <w:p w14:paraId="7283D7E1"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 nhựa thuốc phiện vàHeroinee so với mức tối thiểu đối với từng chất đó được quy định tại khoản 3 Điều 248 của Bộ luật Hình sự năm 2015:</w:t>
      </w:r>
    </w:p>
    <w:p w14:paraId="46FDD231"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nhựa thuốc phiện so với mức tối thiểu đối với nhựa thuốc phiện được quy định tại điểm b khoản 3 Điều 248 của Bộ luật Hình sự năm 2015 là 40% (400 gam so với 01 kilôgam).</w:t>
      </w:r>
    </w:p>
    <w:p w14:paraId="12757A98"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củaHeroinee so với mức tối thiểu đối vớiHeroinee được quy định tại điểm c khoản 3 Điều 248 là 30% (09 gam so với 30 gam).</w:t>
      </w:r>
    </w:p>
    <w:p w14:paraId="3FECD610"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của nhựa thuốc phiện vàHeroinee lại với nhau để xác định tổng tỷ lệ phần trăm về khối lượng của cả 02 chất ma túy là: 40% + 30% = 70% (thuộc trường hợp dưới 100%).</w:t>
      </w:r>
    </w:p>
    <w:p w14:paraId="7BDCEA2B"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Vì tổng tỷ lệ phần trăm về khối lượng của nhựa thuốc phiện vàHeroinee so với mức tối thiểu đối với từng chất đó được quy định tại khoản 3 Điều 248 của Bộ luật Hình sự năm 2015 là dưới 100% nên tổng khối lượng của nhựa thuốc phiện vàHeroinee trong trường </w:t>
      </w:r>
      <w:r w:rsidRPr="00FA5061">
        <w:rPr>
          <w:rFonts w:ascii="Arial" w:hAnsi="Arial" w:cs="Arial"/>
          <w:sz w:val="20"/>
          <w:szCs w:val="20"/>
        </w:rPr>
        <w:lastRenderedPageBreak/>
        <w:t xml:space="preserve">hợp này chỉ thuộc trường hợp quy định tại điểm k khoản 2 Điều 248 của Bộ luật Hình sự năm 2015, cụ thể: </w:t>
      </w:r>
      <w:r w:rsidRPr="00FA5061">
        <w:rPr>
          <w:rFonts w:ascii="Arial" w:hAnsi="Arial" w:cs="Arial"/>
          <w:i/>
          <w:sz w:val="20"/>
          <w:szCs w:val="20"/>
        </w:rPr>
        <w:t>“k) Có 02 chất ma túy trở lên mà tổng khối lượng hoặc thể tích của các chất đó tương đương với khối lượng hoặc thể tích chất ma túy quy định tại một trong các điểm từ điểm đ đến điểm h khoản này”.</w:t>
      </w:r>
    </w:p>
    <w:p w14:paraId="651062F6"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i/>
          <w:sz w:val="20"/>
          <w:szCs w:val="20"/>
        </w:rPr>
        <w:t xml:space="preserve">5. </w:t>
      </w:r>
      <w:r w:rsidRPr="00FA5061">
        <w:rPr>
          <w:rFonts w:ascii="Arial" w:hAnsi="Arial" w:cs="Arial"/>
          <w:sz w:val="20"/>
          <w:szCs w:val="20"/>
        </w:rPr>
        <w:t>Trường hợp các chất ma túy đều có khối lượng hoặc thể tích dưới mức tối thiểu đối với từng chất đó theo quy định tại khoản 4 của một trong các Điều 248, 249, 250, 251, 252 của Bộ luật Hình sự năm 2015, trong đó có ít nhất một chất ma túy có khối lượng hoặc thể tích thuộc trường hợp quy định tại khoản 3 của một trong các điều này.</w:t>
      </w:r>
    </w:p>
    <w:p w14:paraId="40B17493"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chiếm đoạt 900 gam nhựa thuốc phiện và 500 kilôgam quả thuốc phiện khô. Tổng khối lượng của 02 chất ma túy được xác định như sau:</w:t>
      </w:r>
    </w:p>
    <w:p w14:paraId="72D1F2E2"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252 của Bộ luật Hình sự năm 2015 (Tội chiếm đoạt chất ma túy), thì 900 gam nhựa thuốc phiện thuộc trường hợp quy định tại điểm e khoản 2, còn 500 kilôgam quả thuốc phiện khô thuộc trường hợp quy định tại điểm d khoản 3 Điều 252 của Bộ luật Hình sự năm 2015. Vì khối lượng của cả hai chất ma túy đều dưới mức tối thiểu đối với từng chất đó theo quy định tại khoản 4 Điều 252 của Bộ luật Hình sự năm 2015 và khối lượng quả thuốc phiện khô thuộc trường hợp quy định tại điểm d khoản 3 Điều 252 của Bộ luật Hình sự năm 2015, vì vậy sẽ áp dụng quy định tại khoản 4 Điều 5 của Nghị định này để tính tổng khối lượng của cả hai chất ma túy như sau:</w:t>
      </w:r>
    </w:p>
    <w:p w14:paraId="7B5FACE0"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 nhựa thuốc phiện và quả thuốc phiện khô so với mức tối thiểu đối với từng chất đó được quy định tại khoản 4 Điều 252 của Bộ luật Hình sự năm 2015:</w:t>
      </w:r>
    </w:p>
    <w:p w14:paraId="2078196B"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nhựa thuốc phiện so với mức tối thiểu đối với nhựa thuốc phiện được quy định tại điểm a khoản 4 Điều 252 của Bộ luật Hình sự năm 2015 là 18% (900 gam so với 05 kilôgam).</w:t>
      </w:r>
    </w:p>
    <w:p w14:paraId="3A73E414"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quả thuốc phiện khô so với mức tối thiểu đối với quả thuốc phiện khô được quy định tại điểm d khoản 4 Điều 252 của Bộ luật Hình sự năm 2015 là 83% (500 kilôgam so với 600 kilôgam).</w:t>
      </w:r>
    </w:p>
    <w:p w14:paraId="0B01B4AD"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của nhựa thuốc phiện và quả thuốc phiện khô lại với nhau để xác định tổng tỷ lệ phần trăm về khối lượng của cả 02 chất ma túy là: 18% + 83% = 101% (thuộc trường hợp trên 100%).</w:t>
      </w:r>
    </w:p>
    <w:p w14:paraId="5B7D096B"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Vì tổng tỷ lệ phần trăm về khối lượng của nhựa thuốc phiện và quả thuốc phiện khô so với mức tối thiểu đối với từng chất đó được quy định tại khoản 4 Điều 252 của Bộ luật Hình sự năm 2015 là trên 100% nên tổng khối lượng của nhựa thuốc phiện và quả thuốc phiện khô thuộc trường hợp quy định tại điểm h khoản 4 Điều 252 của Bộ luật Hình sự năm 2015 </w:t>
      </w:r>
      <w:r w:rsidRPr="00FA5061">
        <w:rPr>
          <w:rFonts w:ascii="Arial" w:hAnsi="Arial" w:cs="Arial"/>
          <w:i/>
          <w:sz w:val="20"/>
          <w:szCs w:val="20"/>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p w14:paraId="66DF2D07"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i/>
          <w:sz w:val="20"/>
          <w:szCs w:val="20"/>
        </w:rPr>
        <w:t xml:space="preserve">6. </w:t>
      </w:r>
      <w:r w:rsidRPr="00FA5061">
        <w:rPr>
          <w:rFonts w:ascii="Arial" w:hAnsi="Arial" w:cs="Arial"/>
          <w:sz w:val="20"/>
          <w:szCs w:val="20"/>
        </w:rPr>
        <w:t>Trường hợp các chất ma túy đều có khối lượng hoặc thể tích dưới mức tối thiểu đối với từng chất đó theo quy định tại khoản 5 Điều 248 hoặc khoản 5 Điều 251 của Bộ luật Hình sự năm 2015, trong đó có ít nhất một chất ma túy có khối lượng hoặc thể tích thuộc trường hợp quy định tại khoản 4 của Điều 248 hoặc khoản 4 Điều 251.</w:t>
      </w:r>
    </w:p>
    <w:p w14:paraId="1ACF599C"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Ví dụ: Một người mua bán trái phép 4,5 kilôgam nhựa thuốc phiện và 1.100 kilôgam quả thuốc phiện khô. Tổng khối lượng của 02 chất ma túy được xác định như sau:</w:t>
      </w:r>
    </w:p>
    <w:p w14:paraId="1FAD7703"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Căn cứ quy định tại Điều 251 của Bộ luật Hình sự năm 2015 (Tội mua bán trái phép chất ma túy), thì 4,5 kilôgam nhựa thuốc phiện thuộc trường hợp quy định tại điểm a khoản 3, còn 1.100 kilôgam quả thuốc phiện khô thuộc trường hợp quy định tại điểm d khoản 4 Điều 251 của Bộ luật Hình sự năm 2015. Vì khối lượng của cả hai chất ma túy đều dưới mức tối thiểu đối với từng chất đó theo quy định tại khoản 5 Điều 251 của Bộ luật Hình sự năm 2015 và khối lượng quả thuốc phiện khô thuộc trường hợp quy định tại điểm d khoản 4 Điều 251 của Bộ luật Hình sự năm 2015, vì vậy sẽ áp dụng quy định tại khoản 6 Điều 5 của Nghị định này để tính tổng khối lượng của cả hai chất ma túy như sau:</w:t>
      </w:r>
    </w:p>
    <w:p w14:paraId="5CBB708D"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Tính tỷ lệ phần trăm về khối lượng của nhựa thuốc phiện và quả thuốc phiện khô so với mức tối thiểu đối với từng chất đó được quy định tại khoản 5 Điều 251 của Bộ luật Hình sự năm 2015:</w:t>
      </w:r>
    </w:p>
    <w:p w14:paraId="1DD9AF7C"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Tỷ lệ phần trăm về khối lượng của nhựa thuốc phiện so với mức tối thiểu đối với nhựa thuốc phiện được quy định tại điểm a khoản 5 Điều 251 của Bộ luật Hình sự năm 2015 là 15% (4,5 kilôgam so với 30 kilôgam).</w:t>
      </w:r>
    </w:p>
    <w:p w14:paraId="432DEEDB"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lastRenderedPageBreak/>
        <w:t>+ Tỷ lệ phần trăm về khối lượng của quả thuốc phiện khô so với mức tối thiểu đối với quả thuốc phiện khô được quy định tại điểm d khoản 5 Điều 251 của Bộ luật Hình sự năm 2015 là 91,6% (1.100 kilôgam so với 1.200 kilôgam).</w:t>
      </w:r>
    </w:p>
    <w:p w14:paraId="543113FC" w14:textId="77777777" w:rsidR="00E373BF" w:rsidRPr="00FA5061"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Cộng tỷ lệ phần trăm về khối lượng của nhựa thuốc phiện và quả thuốc phiện khô lại với nhau để xác định tổng tỷ lệ phần trăm về khối lượng của cả 02 chất ma túy là: 15% + 91,7% = 106,7% (thuộc trường hợp trên 100%).</w:t>
      </w:r>
    </w:p>
    <w:p w14:paraId="341FEF30" w14:textId="68D67009" w:rsidR="003E1C24" w:rsidRPr="00E373BF" w:rsidRDefault="00E373BF" w:rsidP="00E373BF">
      <w:pPr>
        <w:spacing w:after="120" w:line="240" w:lineRule="auto"/>
        <w:ind w:firstLine="720"/>
        <w:jc w:val="both"/>
        <w:rPr>
          <w:rFonts w:ascii="Arial" w:hAnsi="Arial" w:cs="Arial"/>
          <w:sz w:val="20"/>
          <w:szCs w:val="20"/>
        </w:rPr>
      </w:pPr>
      <w:r w:rsidRPr="00FA5061">
        <w:rPr>
          <w:rFonts w:ascii="Arial" w:hAnsi="Arial" w:cs="Arial"/>
          <w:sz w:val="20"/>
          <w:szCs w:val="20"/>
        </w:rPr>
        <w:t xml:space="preserve">- Xác định điểm, khoản, điều luật: Vì tổng tỷ lệ phần trăm về khối lượng của nhựa thuốc phiện và quả thuốc phiện khô so với mức tối thiểu đối với từng chất đó được quy định tại khoản 5 Điều 252 của Bộ luật Hình sự năm 2015 là trên 100% nên tổng khối lượng của nhựa thuốc phiện và quả thuốc phiện khô thuộc trường hợp quy định tại điểm h khoản 5 Điều 251 của Bộ luật Hình sự năm 2015 </w:t>
      </w:r>
      <w:r w:rsidRPr="00FA5061">
        <w:rPr>
          <w:rFonts w:ascii="Arial" w:hAnsi="Arial" w:cs="Arial"/>
          <w:i/>
          <w:sz w:val="20"/>
          <w:szCs w:val="20"/>
        </w:rPr>
        <w:t>“h) Có 02 chất ma túy trở lên mà tổng khối lượng hoặc thể tích của các chất đó tương đương với khối lượng hoặc thể tích chất ma túy quy định tại một trong các điểm từ điểm a đến điểm g khoản này.</w:t>
      </w:r>
    </w:p>
    <w:sectPr w:rsidR="003E1C24" w:rsidRPr="00E373BF" w:rsidSect="00990150">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3BF"/>
    <w:rsid w:val="003E1C24"/>
    <w:rsid w:val="00556DE7"/>
    <w:rsid w:val="00990150"/>
    <w:rsid w:val="00E373BF"/>
    <w:rsid w:val="00E56B74"/>
    <w:rsid w:val="00EF342C"/>
    <w:rsid w:val="00F131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F3517"/>
  <w15:chartTrackingRefBased/>
  <w15:docId w15:val="{408DB9E7-5243-4B55-94ED-274949CE4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3BF"/>
    <w:pPr>
      <w:spacing w:after="160" w:line="278" w:lineRule="auto"/>
    </w:pPr>
    <w:rPr>
      <w:rFonts w:asciiTheme="minorHAnsi" w:eastAsiaTheme="minorEastAsia" w:hAnsiTheme="minorHAnsi"/>
      <w:kern w:val="2"/>
      <w:sz w:val="24"/>
      <w:szCs w:val="24"/>
      <w14:ligatures w14:val="standardContextual"/>
    </w:rPr>
  </w:style>
  <w:style w:type="paragraph" w:styleId="Heading1">
    <w:name w:val="heading 1"/>
    <w:basedOn w:val="Normal"/>
    <w:next w:val="Normal"/>
    <w:link w:val="Heading1Char"/>
    <w:uiPriority w:val="9"/>
    <w:qFormat/>
    <w:rsid w:val="00E373BF"/>
    <w:pPr>
      <w:keepNext/>
      <w:keepLines/>
      <w:spacing w:before="360" w:after="80" w:line="240" w:lineRule="auto"/>
      <w:outlineLvl w:val="0"/>
    </w:pPr>
    <w:rPr>
      <w:rFonts w:asciiTheme="majorHAnsi" w:eastAsiaTheme="majorEastAsia" w:hAnsiTheme="majorHAnsi" w:cstheme="majorBidi"/>
      <w:color w:val="2F5496" w:themeColor="accent1" w:themeShade="BF"/>
      <w:kern w:val="0"/>
      <w:sz w:val="40"/>
      <w:szCs w:val="40"/>
      <w14:ligatures w14:val="none"/>
    </w:rPr>
  </w:style>
  <w:style w:type="paragraph" w:styleId="Heading2">
    <w:name w:val="heading 2"/>
    <w:basedOn w:val="Normal"/>
    <w:next w:val="Normal"/>
    <w:link w:val="Heading2Char"/>
    <w:uiPriority w:val="9"/>
    <w:semiHidden/>
    <w:unhideWhenUsed/>
    <w:qFormat/>
    <w:rsid w:val="00E373BF"/>
    <w:pPr>
      <w:keepNext/>
      <w:keepLines/>
      <w:spacing w:before="160" w:after="80" w:line="240" w:lineRule="auto"/>
      <w:outlineLvl w:val="1"/>
    </w:pPr>
    <w:rPr>
      <w:rFonts w:asciiTheme="majorHAnsi" w:eastAsiaTheme="majorEastAsia" w:hAnsiTheme="majorHAnsi" w:cstheme="majorBidi"/>
      <w:color w:val="2F5496" w:themeColor="accent1" w:themeShade="BF"/>
      <w:kern w:val="0"/>
      <w:sz w:val="32"/>
      <w:szCs w:val="32"/>
      <w14:ligatures w14:val="none"/>
    </w:rPr>
  </w:style>
  <w:style w:type="paragraph" w:styleId="Heading3">
    <w:name w:val="heading 3"/>
    <w:basedOn w:val="Normal"/>
    <w:next w:val="Normal"/>
    <w:link w:val="Heading3Char"/>
    <w:uiPriority w:val="9"/>
    <w:semiHidden/>
    <w:unhideWhenUsed/>
    <w:qFormat/>
    <w:rsid w:val="00E373BF"/>
    <w:pPr>
      <w:keepNext/>
      <w:keepLines/>
      <w:spacing w:before="160" w:after="80" w:line="240" w:lineRule="auto"/>
      <w:outlineLvl w:val="2"/>
    </w:pPr>
    <w:rPr>
      <w:rFonts w:eastAsiaTheme="majorEastAsia" w:cstheme="majorBidi"/>
      <w:color w:val="2F5496" w:themeColor="accent1" w:themeShade="BF"/>
      <w:kern w:val="0"/>
      <w:sz w:val="28"/>
      <w:szCs w:val="28"/>
      <w14:ligatures w14:val="none"/>
    </w:rPr>
  </w:style>
  <w:style w:type="paragraph" w:styleId="Heading4">
    <w:name w:val="heading 4"/>
    <w:basedOn w:val="Normal"/>
    <w:next w:val="Normal"/>
    <w:link w:val="Heading4Char"/>
    <w:uiPriority w:val="9"/>
    <w:semiHidden/>
    <w:unhideWhenUsed/>
    <w:qFormat/>
    <w:rsid w:val="00E373BF"/>
    <w:pPr>
      <w:keepNext/>
      <w:keepLines/>
      <w:spacing w:before="80" w:after="40" w:line="240" w:lineRule="auto"/>
      <w:outlineLvl w:val="3"/>
    </w:pPr>
    <w:rPr>
      <w:rFonts w:eastAsiaTheme="majorEastAsia" w:cstheme="majorBidi"/>
      <w:i/>
      <w:iCs/>
      <w:color w:val="2F5496" w:themeColor="accent1" w:themeShade="BF"/>
      <w:kern w:val="0"/>
      <w:sz w:val="20"/>
      <w:szCs w:val="22"/>
      <w14:ligatures w14:val="none"/>
    </w:rPr>
  </w:style>
  <w:style w:type="paragraph" w:styleId="Heading5">
    <w:name w:val="heading 5"/>
    <w:basedOn w:val="Normal"/>
    <w:next w:val="Normal"/>
    <w:link w:val="Heading5Char"/>
    <w:uiPriority w:val="9"/>
    <w:semiHidden/>
    <w:unhideWhenUsed/>
    <w:qFormat/>
    <w:rsid w:val="00E373BF"/>
    <w:pPr>
      <w:keepNext/>
      <w:keepLines/>
      <w:spacing w:before="80" w:after="40" w:line="240" w:lineRule="auto"/>
      <w:outlineLvl w:val="4"/>
    </w:pPr>
    <w:rPr>
      <w:rFonts w:eastAsiaTheme="majorEastAsia" w:cstheme="majorBidi"/>
      <w:color w:val="2F5496" w:themeColor="accent1" w:themeShade="BF"/>
      <w:kern w:val="0"/>
      <w:sz w:val="20"/>
      <w:szCs w:val="22"/>
      <w14:ligatures w14:val="none"/>
    </w:rPr>
  </w:style>
  <w:style w:type="paragraph" w:styleId="Heading6">
    <w:name w:val="heading 6"/>
    <w:basedOn w:val="Normal"/>
    <w:next w:val="Normal"/>
    <w:link w:val="Heading6Char"/>
    <w:uiPriority w:val="9"/>
    <w:semiHidden/>
    <w:unhideWhenUsed/>
    <w:qFormat/>
    <w:rsid w:val="00E373BF"/>
    <w:pPr>
      <w:keepNext/>
      <w:keepLines/>
      <w:spacing w:before="40" w:after="0" w:line="240" w:lineRule="auto"/>
      <w:outlineLvl w:val="5"/>
    </w:pPr>
    <w:rPr>
      <w:rFonts w:eastAsiaTheme="majorEastAsia" w:cstheme="majorBidi"/>
      <w:i/>
      <w:iCs/>
      <w:color w:val="595959" w:themeColor="text1" w:themeTint="A6"/>
      <w:kern w:val="0"/>
      <w:sz w:val="20"/>
      <w:szCs w:val="22"/>
      <w14:ligatures w14:val="none"/>
    </w:rPr>
  </w:style>
  <w:style w:type="paragraph" w:styleId="Heading7">
    <w:name w:val="heading 7"/>
    <w:basedOn w:val="Normal"/>
    <w:next w:val="Normal"/>
    <w:link w:val="Heading7Char"/>
    <w:uiPriority w:val="9"/>
    <w:semiHidden/>
    <w:unhideWhenUsed/>
    <w:qFormat/>
    <w:rsid w:val="00E373BF"/>
    <w:pPr>
      <w:keepNext/>
      <w:keepLines/>
      <w:spacing w:before="40" w:after="0" w:line="240" w:lineRule="auto"/>
      <w:outlineLvl w:val="6"/>
    </w:pPr>
    <w:rPr>
      <w:rFonts w:eastAsiaTheme="majorEastAsia" w:cstheme="majorBidi"/>
      <w:color w:val="595959" w:themeColor="text1" w:themeTint="A6"/>
      <w:kern w:val="0"/>
      <w:sz w:val="20"/>
      <w:szCs w:val="22"/>
      <w14:ligatures w14:val="none"/>
    </w:rPr>
  </w:style>
  <w:style w:type="paragraph" w:styleId="Heading8">
    <w:name w:val="heading 8"/>
    <w:basedOn w:val="Normal"/>
    <w:next w:val="Normal"/>
    <w:link w:val="Heading8Char"/>
    <w:uiPriority w:val="9"/>
    <w:semiHidden/>
    <w:unhideWhenUsed/>
    <w:qFormat/>
    <w:rsid w:val="00E373BF"/>
    <w:pPr>
      <w:keepNext/>
      <w:keepLines/>
      <w:spacing w:after="0" w:line="240" w:lineRule="auto"/>
      <w:outlineLvl w:val="7"/>
    </w:pPr>
    <w:rPr>
      <w:rFonts w:eastAsiaTheme="majorEastAsia" w:cstheme="majorBidi"/>
      <w:i/>
      <w:iCs/>
      <w:color w:val="272727" w:themeColor="text1" w:themeTint="D8"/>
      <w:kern w:val="0"/>
      <w:sz w:val="20"/>
      <w:szCs w:val="22"/>
      <w14:ligatures w14:val="none"/>
    </w:rPr>
  </w:style>
  <w:style w:type="paragraph" w:styleId="Heading9">
    <w:name w:val="heading 9"/>
    <w:basedOn w:val="Normal"/>
    <w:next w:val="Normal"/>
    <w:link w:val="Heading9Char"/>
    <w:uiPriority w:val="9"/>
    <w:semiHidden/>
    <w:unhideWhenUsed/>
    <w:qFormat/>
    <w:rsid w:val="00E373BF"/>
    <w:pPr>
      <w:keepNext/>
      <w:keepLines/>
      <w:spacing w:after="0" w:line="240" w:lineRule="auto"/>
      <w:outlineLvl w:val="8"/>
    </w:pPr>
    <w:rPr>
      <w:rFonts w:eastAsiaTheme="majorEastAsia" w:cstheme="majorBidi"/>
      <w:color w:val="272727" w:themeColor="text1" w:themeTint="D8"/>
      <w:kern w:val="0"/>
      <w:sz w:val="20"/>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3B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73B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73B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73B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73B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73B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73B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73B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73B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73BF"/>
    <w:pPr>
      <w:spacing w:after="80" w:line="240" w:lineRule="auto"/>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E373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3BF"/>
    <w:pPr>
      <w:numPr>
        <w:ilvl w:val="1"/>
      </w:numPr>
      <w:spacing w:line="240" w:lineRule="auto"/>
    </w:pPr>
    <w:rPr>
      <w:rFonts w:eastAsiaTheme="majorEastAsia" w:cstheme="majorBidi"/>
      <w:color w:val="595959" w:themeColor="text1" w:themeTint="A6"/>
      <w:spacing w:val="15"/>
      <w:kern w:val="0"/>
      <w:sz w:val="28"/>
      <w:szCs w:val="28"/>
      <w14:ligatures w14:val="none"/>
    </w:rPr>
  </w:style>
  <w:style w:type="character" w:customStyle="1" w:styleId="SubtitleChar">
    <w:name w:val="Subtitle Char"/>
    <w:basedOn w:val="DefaultParagraphFont"/>
    <w:link w:val="Subtitle"/>
    <w:uiPriority w:val="11"/>
    <w:rsid w:val="00E373B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73BF"/>
    <w:pPr>
      <w:spacing w:before="160" w:line="240" w:lineRule="auto"/>
      <w:jc w:val="center"/>
    </w:pPr>
    <w:rPr>
      <w:rFonts w:ascii="Arial" w:eastAsiaTheme="minorHAnsi" w:hAnsi="Arial"/>
      <w:i/>
      <w:iCs/>
      <w:color w:val="404040" w:themeColor="text1" w:themeTint="BF"/>
      <w:kern w:val="0"/>
      <w:sz w:val="20"/>
      <w:szCs w:val="22"/>
      <w14:ligatures w14:val="none"/>
    </w:rPr>
  </w:style>
  <w:style w:type="character" w:customStyle="1" w:styleId="QuoteChar">
    <w:name w:val="Quote Char"/>
    <w:basedOn w:val="DefaultParagraphFont"/>
    <w:link w:val="Quote"/>
    <w:uiPriority w:val="29"/>
    <w:rsid w:val="00E373BF"/>
    <w:rPr>
      <w:i/>
      <w:iCs/>
      <w:color w:val="404040" w:themeColor="text1" w:themeTint="BF"/>
    </w:rPr>
  </w:style>
  <w:style w:type="paragraph" w:styleId="ListParagraph">
    <w:name w:val="List Paragraph"/>
    <w:basedOn w:val="Normal"/>
    <w:uiPriority w:val="34"/>
    <w:qFormat/>
    <w:rsid w:val="00E373BF"/>
    <w:pPr>
      <w:spacing w:after="120" w:line="240" w:lineRule="auto"/>
      <w:ind w:left="720"/>
      <w:contextualSpacing/>
    </w:pPr>
    <w:rPr>
      <w:rFonts w:ascii="Arial" w:eastAsiaTheme="minorHAnsi" w:hAnsi="Arial"/>
      <w:kern w:val="0"/>
      <w:sz w:val="20"/>
      <w:szCs w:val="22"/>
      <w14:ligatures w14:val="none"/>
    </w:rPr>
  </w:style>
  <w:style w:type="character" w:styleId="IntenseEmphasis">
    <w:name w:val="Intense Emphasis"/>
    <w:basedOn w:val="DefaultParagraphFont"/>
    <w:uiPriority w:val="21"/>
    <w:qFormat/>
    <w:rsid w:val="00E373BF"/>
    <w:rPr>
      <w:i/>
      <w:iCs/>
      <w:color w:val="2F5496" w:themeColor="accent1" w:themeShade="BF"/>
    </w:rPr>
  </w:style>
  <w:style w:type="paragraph" w:styleId="IntenseQuote">
    <w:name w:val="Intense Quote"/>
    <w:basedOn w:val="Normal"/>
    <w:next w:val="Normal"/>
    <w:link w:val="IntenseQuoteChar"/>
    <w:uiPriority w:val="30"/>
    <w:qFormat/>
    <w:rsid w:val="00E373BF"/>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kern w:val="0"/>
      <w:sz w:val="20"/>
      <w:szCs w:val="22"/>
      <w14:ligatures w14:val="none"/>
    </w:rPr>
  </w:style>
  <w:style w:type="character" w:customStyle="1" w:styleId="IntenseQuoteChar">
    <w:name w:val="Intense Quote Char"/>
    <w:basedOn w:val="DefaultParagraphFont"/>
    <w:link w:val="IntenseQuote"/>
    <w:uiPriority w:val="30"/>
    <w:rsid w:val="00E373BF"/>
    <w:rPr>
      <w:i/>
      <w:iCs/>
      <w:color w:val="2F5496" w:themeColor="accent1" w:themeShade="BF"/>
    </w:rPr>
  </w:style>
  <w:style w:type="character" w:styleId="IntenseReference">
    <w:name w:val="Intense Reference"/>
    <w:basedOn w:val="DefaultParagraphFont"/>
    <w:uiPriority w:val="32"/>
    <w:qFormat/>
    <w:rsid w:val="00E373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3354</Words>
  <Characters>19119</Characters>
  <Application>Microsoft Office Word</Application>
  <DocSecurity>0</DocSecurity>
  <Lines>159</Lines>
  <Paragraphs>44</Paragraphs>
  <ScaleCrop>false</ScaleCrop>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QUYNH ANH NGUYEN</dc:creator>
  <cp:keywords/>
  <dc:description/>
  <cp:lastModifiedBy>QUYNH ANH NGUYEN</cp:lastModifiedBy>
  <cp:revision>2</cp:revision>
  <dcterms:created xsi:type="dcterms:W3CDTF">2025-09-04T09:04:00Z</dcterms:created>
  <dcterms:modified xsi:type="dcterms:W3CDTF">2025-09-04T09:10:00Z</dcterms:modified>
</cp:coreProperties>
</file>