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79B" w:rsidRPr="00B6091B" w:rsidRDefault="00A1279B" w:rsidP="00A1279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Phụ lục I</w:t>
      </w:r>
    </w:p>
    <w:p w:rsidR="00A1279B" w:rsidRPr="00B6091B" w:rsidRDefault="00A1279B" w:rsidP="00A1279B">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DANH MỤC HÀNG HÓA LƯỠNG DỤNG XUẤT KHẨU,</w:t>
      </w:r>
      <w:r w:rsidRPr="00B6091B">
        <w:rPr>
          <w:rFonts w:ascii="Arial" w:hAnsi="Arial" w:cs="Arial"/>
          <w:color w:val="000000" w:themeColor="text1"/>
          <w:sz w:val="20"/>
          <w:szCs w:val="20"/>
        </w:rPr>
        <w:br/>
      </w:r>
      <w:r w:rsidRPr="00B6091B">
        <w:rPr>
          <w:rFonts w:ascii="Arial" w:hAnsi="Arial" w:cs="Arial"/>
          <w:b/>
          <w:color w:val="000000" w:themeColor="text1"/>
          <w:sz w:val="20"/>
          <w:szCs w:val="20"/>
        </w:rPr>
        <w:t>TẠM NHẬP TÁI XUẤT, CHUYỂN KHẨU, TRUNG CHUYỂN,</w:t>
      </w:r>
      <w:r w:rsidRPr="00B6091B">
        <w:rPr>
          <w:rFonts w:ascii="Arial" w:hAnsi="Arial" w:cs="Arial"/>
          <w:color w:val="000000" w:themeColor="text1"/>
          <w:sz w:val="20"/>
          <w:szCs w:val="20"/>
        </w:rPr>
        <w:br/>
      </w:r>
      <w:r w:rsidRPr="00B6091B">
        <w:rPr>
          <w:rFonts w:ascii="Arial" w:hAnsi="Arial" w:cs="Arial"/>
          <w:b/>
          <w:color w:val="000000" w:themeColor="text1"/>
          <w:sz w:val="20"/>
          <w:szCs w:val="20"/>
        </w:rPr>
        <w:t>QUÁ CẢNH THEO GIẤY PHÉP</w:t>
      </w:r>
    </w:p>
    <w:p w:rsidR="00A1279B" w:rsidRPr="00B6091B" w:rsidRDefault="00A1279B" w:rsidP="00A1279B">
      <w:pPr>
        <w:spacing w:after="0" w:line="240" w:lineRule="auto"/>
        <w:jc w:val="center"/>
        <w:rPr>
          <w:rFonts w:ascii="Arial" w:hAnsi="Arial" w:cs="Arial"/>
          <w:color w:val="000000" w:themeColor="text1"/>
          <w:sz w:val="20"/>
          <w:szCs w:val="20"/>
        </w:rPr>
      </w:pPr>
      <w:r w:rsidRPr="00B6091B">
        <w:rPr>
          <w:rFonts w:ascii="Arial" w:hAnsi="Arial" w:cs="Arial"/>
          <w:i/>
          <w:color w:val="000000" w:themeColor="text1"/>
          <w:sz w:val="20"/>
          <w:szCs w:val="20"/>
        </w:rPr>
        <w:t>(Kèm theo Nghị định số 259/2025/NĐ-CP</w:t>
      </w:r>
      <w:r w:rsidRPr="00B6091B">
        <w:rPr>
          <w:rFonts w:ascii="Arial" w:hAnsi="Arial" w:cs="Arial"/>
          <w:color w:val="000000" w:themeColor="text1"/>
          <w:sz w:val="20"/>
          <w:szCs w:val="20"/>
        </w:rPr>
        <w:br/>
      </w:r>
      <w:r w:rsidRPr="00B6091B">
        <w:rPr>
          <w:rFonts w:ascii="Arial" w:hAnsi="Arial" w:cs="Arial"/>
          <w:i/>
          <w:color w:val="000000" w:themeColor="text1"/>
          <w:sz w:val="20"/>
          <w:szCs w:val="20"/>
        </w:rPr>
        <w:t>ngày 10 tháng 10 năm 2025 của Chính phủ)</w:t>
      </w:r>
    </w:p>
    <w:p w:rsidR="00A1279B" w:rsidRPr="00B6091B" w:rsidRDefault="00A1279B" w:rsidP="00A1279B">
      <w:pPr>
        <w:spacing w:after="0" w:line="240" w:lineRule="auto"/>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88"/>
        <w:gridCol w:w="6665"/>
        <w:gridCol w:w="1656"/>
      </w:tblGrid>
      <w:tr w:rsidR="00A1279B" w:rsidRPr="00B6091B" w:rsidTr="000C2203">
        <w:tc>
          <w:tcPr>
            <w:tcW w:w="382" w:type="pct"/>
            <w:tcBorders>
              <w:top w:val="single" w:sz="8" w:space="0" w:color="000000"/>
              <w:left w:val="single" w:sz="8" w:space="0" w:color="000000"/>
              <w:bottom w:val="nil"/>
              <w:right w:val="nil"/>
            </w:tcBorders>
            <w:vAlign w:val="bottom"/>
          </w:tcPr>
          <w:p w:rsidR="00A1279B" w:rsidRPr="00B6091B" w:rsidRDefault="00A1279B" w:rsidP="000C2203">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STT</w:t>
            </w:r>
          </w:p>
        </w:tc>
        <w:tc>
          <w:tcPr>
            <w:tcW w:w="3698" w:type="pct"/>
            <w:tcBorders>
              <w:top w:val="single" w:sz="8" w:space="0" w:color="000000"/>
              <w:left w:val="single" w:sz="8" w:space="0" w:color="000000"/>
              <w:bottom w:val="nil"/>
              <w:right w:val="nil"/>
            </w:tcBorders>
            <w:vAlign w:val="bottom"/>
          </w:tcPr>
          <w:p w:rsidR="00A1279B" w:rsidRPr="00B6091B" w:rsidRDefault="00A1279B" w:rsidP="000C2203">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Mô tả hàng hóa</w:t>
            </w:r>
          </w:p>
        </w:tc>
        <w:tc>
          <w:tcPr>
            <w:tcW w:w="919" w:type="pct"/>
            <w:tcBorders>
              <w:top w:val="single" w:sz="8" w:space="0" w:color="000000"/>
              <w:left w:val="single" w:sz="8" w:space="0" w:color="000000"/>
              <w:bottom w:val="nil"/>
              <w:right w:val="single" w:sz="8" w:space="0" w:color="000000"/>
            </w:tcBorders>
            <w:vAlign w:val="bottom"/>
          </w:tcPr>
          <w:p w:rsidR="00A1279B" w:rsidRPr="00B6091B" w:rsidRDefault="00A1279B" w:rsidP="000C2203">
            <w:pPr>
              <w:spacing w:after="0" w:line="240" w:lineRule="auto"/>
              <w:jc w:val="center"/>
              <w:rPr>
                <w:rFonts w:ascii="Arial" w:hAnsi="Arial" w:cs="Arial"/>
                <w:color w:val="000000" w:themeColor="text1"/>
                <w:sz w:val="20"/>
                <w:szCs w:val="20"/>
              </w:rPr>
            </w:pPr>
            <w:r w:rsidRPr="00B6091B">
              <w:rPr>
                <w:rFonts w:ascii="Arial" w:hAnsi="Arial" w:cs="Arial"/>
                <w:b/>
                <w:color w:val="000000" w:themeColor="text1"/>
                <w:sz w:val="20"/>
                <w:szCs w:val="20"/>
              </w:rPr>
              <w:t>Bộ có thẩm quyền quản lý</w:t>
            </w:r>
          </w:p>
        </w:tc>
      </w:tr>
      <w:tr w:rsidR="00A1279B" w:rsidRPr="00B6091B" w:rsidTr="000C2203">
        <w:tc>
          <w:tcPr>
            <w:tcW w:w="382" w:type="pct"/>
            <w:tcBorders>
              <w:top w:val="single" w:sz="8" w:space="0" w:color="000000"/>
              <w:left w:val="single" w:sz="8" w:space="0" w:color="000000"/>
              <w:bottom w:val="nil"/>
              <w:right w:val="nil"/>
            </w:tcBorders>
            <w:vAlign w:val="center"/>
          </w:tcPr>
          <w:p w:rsidR="00A1279B" w:rsidRPr="00B6091B" w:rsidRDefault="00A1279B" w:rsidP="000C2203">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1</w:t>
            </w:r>
          </w:p>
        </w:tc>
        <w:tc>
          <w:tcPr>
            <w:tcW w:w="3698" w:type="pct"/>
            <w:tcBorders>
              <w:top w:val="single" w:sz="8" w:space="0" w:color="000000"/>
              <w:left w:val="single" w:sz="8" w:space="0" w:color="000000"/>
              <w:bottom w:val="nil"/>
              <w:right w:val="nil"/>
            </w:tcBorders>
            <w:vAlign w:val="center"/>
          </w:tcPr>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Vật liệu phóng xạ và thiết bị hạt nhân</w:t>
            </w:r>
          </w:p>
        </w:tc>
        <w:tc>
          <w:tcPr>
            <w:tcW w:w="919" w:type="pct"/>
            <w:tcBorders>
              <w:top w:val="single" w:sz="8" w:space="0" w:color="000000"/>
              <w:left w:val="single" w:sz="8" w:space="0" w:color="000000"/>
              <w:bottom w:val="nil"/>
              <w:right w:val="single" w:sz="8" w:space="0" w:color="000000"/>
            </w:tcBorders>
            <w:vAlign w:val="center"/>
          </w:tcPr>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Khoa học và Công nghệ</w:t>
            </w:r>
          </w:p>
        </w:tc>
      </w:tr>
      <w:tr w:rsidR="00A1279B" w:rsidRPr="00B6091B" w:rsidTr="000C2203">
        <w:tc>
          <w:tcPr>
            <w:tcW w:w="382" w:type="pct"/>
            <w:tcBorders>
              <w:top w:val="single" w:sz="8" w:space="0" w:color="000000"/>
              <w:left w:val="single" w:sz="8" w:space="0" w:color="000000"/>
              <w:bottom w:val="nil"/>
              <w:right w:val="nil"/>
            </w:tcBorders>
            <w:vAlign w:val="bottom"/>
          </w:tcPr>
          <w:p w:rsidR="00A1279B" w:rsidRPr="00B6091B" w:rsidRDefault="00A1279B" w:rsidP="000C2203">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2</w:t>
            </w:r>
          </w:p>
        </w:tc>
        <w:tc>
          <w:tcPr>
            <w:tcW w:w="3698" w:type="pct"/>
            <w:tcBorders>
              <w:top w:val="single" w:sz="8" w:space="0" w:color="000000"/>
              <w:left w:val="single" w:sz="8" w:space="0" w:color="000000"/>
              <w:bottom w:val="nil"/>
              <w:right w:val="nil"/>
            </w:tcBorders>
            <w:vAlign w:val="bottom"/>
          </w:tcPr>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Điện tử</w:t>
            </w:r>
          </w:p>
        </w:tc>
        <w:tc>
          <w:tcPr>
            <w:tcW w:w="919" w:type="pct"/>
            <w:tcBorders>
              <w:top w:val="single" w:sz="8" w:space="0" w:color="000000"/>
              <w:left w:val="single" w:sz="8" w:space="0" w:color="000000"/>
              <w:bottom w:val="nil"/>
              <w:right w:val="single" w:sz="8" w:space="0" w:color="000000"/>
            </w:tcBorders>
          </w:tcPr>
          <w:p w:rsidR="00A1279B" w:rsidRPr="00B6091B" w:rsidRDefault="00A1279B" w:rsidP="000C2203">
            <w:pPr>
              <w:spacing w:after="0" w:line="240" w:lineRule="auto"/>
              <w:rPr>
                <w:rFonts w:ascii="Arial" w:hAnsi="Arial" w:cs="Arial"/>
                <w:color w:val="000000" w:themeColor="text1"/>
                <w:sz w:val="20"/>
                <w:szCs w:val="20"/>
              </w:rPr>
            </w:pPr>
          </w:p>
        </w:tc>
      </w:tr>
      <w:tr w:rsidR="00A1279B" w:rsidRPr="00B6091B" w:rsidTr="000C2203">
        <w:tc>
          <w:tcPr>
            <w:tcW w:w="382" w:type="pct"/>
            <w:tcBorders>
              <w:top w:val="single" w:sz="8" w:space="0" w:color="000000"/>
              <w:left w:val="single" w:sz="8" w:space="0" w:color="000000"/>
              <w:bottom w:val="nil"/>
              <w:right w:val="nil"/>
            </w:tcBorders>
          </w:tcPr>
          <w:p w:rsidR="00A1279B" w:rsidRPr="00B6091B" w:rsidRDefault="00A1279B" w:rsidP="000C2203">
            <w:pPr>
              <w:spacing w:after="0" w:line="240" w:lineRule="auto"/>
              <w:jc w:val="center"/>
              <w:rPr>
                <w:rFonts w:ascii="Arial" w:hAnsi="Arial" w:cs="Arial"/>
                <w:color w:val="000000" w:themeColor="text1"/>
                <w:sz w:val="20"/>
                <w:szCs w:val="20"/>
              </w:rPr>
            </w:pPr>
          </w:p>
        </w:tc>
        <w:tc>
          <w:tcPr>
            <w:tcW w:w="3698" w:type="pct"/>
            <w:tcBorders>
              <w:top w:val="single" w:sz="8" w:space="0" w:color="000000"/>
              <w:left w:val="single" w:sz="8" w:space="0" w:color="000000"/>
              <w:bottom w:val="nil"/>
              <w:right w:val="nil"/>
            </w:tcBorders>
            <w:vAlign w:val="bottom"/>
          </w:tcPr>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 Các vi mạch xử lý (vi mạch vi xử lý, vi mạch máy vi tính và vi mạch điều khiển) có tốc độ xử lý từ 5 GFLOPS trở lên và có đơn vị logic số học (ALU) với độ rộng truy cập từ 32 bit trở lên.</w:t>
            </w:r>
          </w:p>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(ii) Mạch tích hợp được thiết kế hoặc đánh giá là có khả năng chịu bức xạ cao.</w:t>
            </w:r>
          </w:p>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(iii) Chất nền bán dẫn silicon carbide (SiC), gallium nitride (GaN), aluminum nitride (AlN) hoặc aluminum gallium nitride (AlGaN), hoặc các dạng tiền chế khác của các vật liệu đó, có điện trở suất lớn hơn 10,000 ohm-cm tại 20°C.</w:t>
            </w:r>
          </w:p>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(iv) Chất nền đa tinh thể (polycrystalline) hoặc chất nền gốm polycrystalline, có điện trở suất lớn hơn 10,000 ohm-cm tại 20°C và có ít nhất một lớp tinh thể đơn không epitaxy của silicon (Si), silicon carbide (SiC), gallium nitride (GaN), aluminum nitride (AlN) hoặc aluminum gallium nitride (AlGaN) trên bề mặt của chất nền.</w:t>
            </w:r>
          </w:p>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(v) Chất chống ăn mòn dương (positive resist) thiết kế cho in quang học bán dẫn, được điều chỉnh (tối ưu hóa) đặc biệt để sử dụng ở các bước sóng từ 370 đế</w:t>
            </w:r>
            <w:r>
              <w:rPr>
                <w:rFonts w:ascii="Arial" w:hAnsi="Arial" w:cs="Arial"/>
                <w:color w:val="000000" w:themeColor="text1"/>
                <w:sz w:val="20"/>
                <w:szCs w:val="20"/>
              </w:rPr>
              <w:t>n 193 nm</w:t>
            </w:r>
          </w:p>
        </w:tc>
        <w:tc>
          <w:tcPr>
            <w:tcW w:w="919" w:type="pct"/>
            <w:tcBorders>
              <w:top w:val="single" w:sz="8" w:space="0" w:color="000000"/>
              <w:left w:val="single" w:sz="8" w:space="0" w:color="000000"/>
              <w:bottom w:val="nil"/>
              <w:right w:val="single" w:sz="8" w:space="0" w:color="000000"/>
            </w:tcBorders>
          </w:tcPr>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Khoa học và Công nghệ</w:t>
            </w:r>
          </w:p>
        </w:tc>
      </w:tr>
      <w:tr w:rsidR="00A1279B" w:rsidRPr="00B6091B" w:rsidTr="000C2203">
        <w:trPr>
          <w:trHeight w:val="1380"/>
        </w:trPr>
        <w:tc>
          <w:tcPr>
            <w:tcW w:w="382" w:type="pct"/>
            <w:tcBorders>
              <w:top w:val="single" w:sz="8" w:space="0" w:color="000000"/>
              <w:left w:val="single" w:sz="8" w:space="0" w:color="000000"/>
              <w:right w:val="nil"/>
            </w:tcBorders>
          </w:tcPr>
          <w:p w:rsidR="00A1279B" w:rsidRPr="00B6091B" w:rsidRDefault="00A1279B" w:rsidP="000C2203">
            <w:pPr>
              <w:spacing w:after="0" w:line="240" w:lineRule="auto"/>
              <w:jc w:val="center"/>
              <w:rPr>
                <w:rFonts w:ascii="Arial" w:hAnsi="Arial" w:cs="Arial"/>
                <w:color w:val="000000" w:themeColor="text1"/>
                <w:sz w:val="20"/>
                <w:szCs w:val="20"/>
              </w:rPr>
            </w:pPr>
          </w:p>
        </w:tc>
        <w:tc>
          <w:tcPr>
            <w:tcW w:w="3698" w:type="pct"/>
            <w:tcBorders>
              <w:top w:val="single" w:sz="8" w:space="0" w:color="000000"/>
              <w:left w:val="single" w:sz="8" w:space="0" w:color="000000"/>
              <w:right w:val="nil"/>
            </w:tcBorders>
            <w:vAlign w:val="bottom"/>
          </w:tcPr>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(vi) Nguồn cung cấp điện một chiều công suất cao, có khả năng sản xuất liên tục trong 8 giờ, điện áp từ 100 V trở lên với dòng điện đầu ra từ 500 A trở lên.</w:t>
            </w:r>
            <w:r>
              <w:rPr>
                <w:rFonts w:ascii="Arial" w:hAnsi="Arial" w:cs="Arial"/>
                <w:color w:val="000000" w:themeColor="text1"/>
                <w:sz w:val="20"/>
                <w:szCs w:val="20"/>
              </w:rPr>
              <w:t xml:space="preserve"> </w:t>
            </w:r>
          </w:p>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(vii) Nguồn cung cấp điện một chiều điện áp cao, có khả năng sản xuất liên tục trong 8 giờ, điện áp từ 20 kV trở lên với dòng điện đầu ra từ 1 A trở lên.</w:t>
            </w:r>
          </w:p>
          <w:p w:rsidR="00A1279B" w:rsidRPr="00B6091B" w:rsidRDefault="00A1279B" w:rsidP="000C2203">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(vi</w:t>
            </w:r>
            <w:r w:rsidRPr="00B6091B">
              <w:rPr>
                <w:rFonts w:ascii="Arial" w:hAnsi="Arial" w:cs="Arial"/>
                <w:color w:val="000000" w:themeColor="text1"/>
                <w:sz w:val="20"/>
                <w:szCs w:val="20"/>
              </w:rPr>
              <w:t>i) Bộ biến đổi tần số (bộ chuyển đổi hoặc bộ nghịch lưu) có đầu ra đa pha cung cấp công suất từ 40 VA trở lên, hoạt động ở tần số 600 Hz trở lên.</w:t>
            </w:r>
          </w:p>
        </w:tc>
        <w:tc>
          <w:tcPr>
            <w:tcW w:w="919" w:type="pct"/>
            <w:tcBorders>
              <w:top w:val="single" w:sz="8" w:space="0" w:color="000000"/>
              <w:left w:val="single" w:sz="8" w:space="0" w:color="000000"/>
              <w:right w:val="single" w:sz="8" w:space="0" w:color="000000"/>
            </w:tcBorders>
          </w:tcPr>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Công Thương</w:t>
            </w:r>
          </w:p>
        </w:tc>
      </w:tr>
      <w:tr w:rsidR="00A1279B" w:rsidRPr="00B6091B" w:rsidTr="000C2203">
        <w:tc>
          <w:tcPr>
            <w:tcW w:w="382" w:type="pct"/>
            <w:tcBorders>
              <w:top w:val="single" w:sz="8" w:space="0" w:color="000000"/>
              <w:left w:val="single" w:sz="8" w:space="0" w:color="000000"/>
              <w:bottom w:val="nil"/>
              <w:right w:val="nil"/>
            </w:tcBorders>
            <w:vAlign w:val="center"/>
          </w:tcPr>
          <w:p w:rsidR="00A1279B" w:rsidRPr="00B6091B" w:rsidRDefault="00A1279B" w:rsidP="000C2203">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3</w:t>
            </w:r>
          </w:p>
        </w:tc>
        <w:tc>
          <w:tcPr>
            <w:tcW w:w="3698" w:type="pct"/>
            <w:tcBorders>
              <w:top w:val="single" w:sz="8" w:space="0" w:color="000000"/>
              <w:left w:val="single" w:sz="8" w:space="0" w:color="000000"/>
              <w:bottom w:val="nil"/>
              <w:right w:val="nil"/>
            </w:tcBorders>
            <w:vAlign w:val="center"/>
          </w:tcPr>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Máy vi tính</w:t>
            </w:r>
          </w:p>
        </w:tc>
        <w:tc>
          <w:tcPr>
            <w:tcW w:w="919" w:type="pct"/>
            <w:tcBorders>
              <w:top w:val="single" w:sz="8" w:space="0" w:color="000000"/>
              <w:left w:val="single" w:sz="8" w:space="0" w:color="000000"/>
              <w:bottom w:val="nil"/>
              <w:right w:val="single" w:sz="8" w:space="0" w:color="000000"/>
            </w:tcBorders>
            <w:vAlign w:val="center"/>
          </w:tcPr>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Khoa học và Công nghệ</w:t>
            </w:r>
          </w:p>
        </w:tc>
      </w:tr>
      <w:tr w:rsidR="00A1279B" w:rsidRPr="00B6091B" w:rsidTr="000C2203">
        <w:tc>
          <w:tcPr>
            <w:tcW w:w="382" w:type="pct"/>
            <w:tcBorders>
              <w:top w:val="single" w:sz="8" w:space="0" w:color="000000"/>
              <w:left w:val="single" w:sz="8" w:space="0" w:color="000000"/>
              <w:bottom w:val="nil"/>
              <w:right w:val="nil"/>
            </w:tcBorders>
          </w:tcPr>
          <w:p w:rsidR="00A1279B" w:rsidRPr="00B6091B" w:rsidRDefault="00A1279B" w:rsidP="000C2203">
            <w:pPr>
              <w:spacing w:after="0" w:line="240" w:lineRule="auto"/>
              <w:jc w:val="center"/>
              <w:rPr>
                <w:rFonts w:ascii="Arial" w:hAnsi="Arial" w:cs="Arial"/>
                <w:color w:val="000000" w:themeColor="text1"/>
                <w:sz w:val="20"/>
                <w:szCs w:val="20"/>
              </w:rPr>
            </w:pPr>
          </w:p>
        </w:tc>
        <w:tc>
          <w:tcPr>
            <w:tcW w:w="3698" w:type="pct"/>
            <w:tcBorders>
              <w:top w:val="single" w:sz="8" w:space="0" w:color="000000"/>
              <w:left w:val="single" w:sz="8" w:space="0" w:color="000000"/>
              <w:bottom w:val="nil"/>
              <w:right w:val="nil"/>
            </w:tcBorders>
            <w:vAlign w:val="center"/>
          </w:tcPr>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 Máy tính điện tử và thiết bị liên quan có khả năng làm việc ở môi trường nhiệt độ thấp (dưới -45°C) hoặc nhiệt độ cao (trên 85°C).</w:t>
            </w:r>
          </w:p>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(ii) Máy tính điện tử và thiết bị liên quan được thiết kế để chịu được mức bức xạ cao.</w:t>
            </w:r>
          </w:p>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(iii) Máy tính được thiết kế để mô hình hóa, mô phỏng hoặc tích hợp thiết kế tên lửa.</w:t>
            </w:r>
          </w:p>
        </w:tc>
        <w:tc>
          <w:tcPr>
            <w:tcW w:w="919" w:type="pct"/>
            <w:tcBorders>
              <w:top w:val="single" w:sz="8" w:space="0" w:color="000000"/>
              <w:left w:val="single" w:sz="8" w:space="0" w:color="000000"/>
              <w:bottom w:val="nil"/>
              <w:right w:val="single" w:sz="8" w:space="0" w:color="000000"/>
            </w:tcBorders>
          </w:tcPr>
          <w:p w:rsidR="00A1279B" w:rsidRPr="00B6091B" w:rsidRDefault="00A1279B" w:rsidP="000C2203">
            <w:pPr>
              <w:spacing w:after="0" w:line="240" w:lineRule="auto"/>
              <w:rPr>
                <w:rFonts w:ascii="Arial" w:hAnsi="Arial" w:cs="Arial"/>
                <w:color w:val="000000" w:themeColor="text1"/>
                <w:sz w:val="20"/>
                <w:szCs w:val="20"/>
              </w:rPr>
            </w:pPr>
          </w:p>
        </w:tc>
      </w:tr>
      <w:tr w:rsidR="00A1279B" w:rsidRPr="00B6091B" w:rsidTr="000C2203">
        <w:tc>
          <w:tcPr>
            <w:tcW w:w="382" w:type="pct"/>
            <w:tcBorders>
              <w:top w:val="single" w:sz="8" w:space="0" w:color="000000"/>
              <w:left w:val="single" w:sz="8" w:space="0" w:color="000000"/>
              <w:bottom w:val="nil"/>
              <w:right w:val="nil"/>
            </w:tcBorders>
            <w:vAlign w:val="center"/>
          </w:tcPr>
          <w:p w:rsidR="00A1279B" w:rsidRPr="00B6091B" w:rsidRDefault="00A1279B" w:rsidP="000C2203">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4</w:t>
            </w:r>
          </w:p>
        </w:tc>
        <w:tc>
          <w:tcPr>
            <w:tcW w:w="3698" w:type="pct"/>
            <w:tcBorders>
              <w:top w:val="single" w:sz="8" w:space="0" w:color="000000"/>
              <w:left w:val="single" w:sz="8" w:space="0" w:color="000000"/>
              <w:bottom w:val="nil"/>
              <w:right w:val="nil"/>
            </w:tcBorders>
            <w:vAlign w:val="center"/>
          </w:tcPr>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Viễn thông, cảm biến và laser.</w:t>
            </w:r>
          </w:p>
        </w:tc>
        <w:tc>
          <w:tcPr>
            <w:tcW w:w="919" w:type="pct"/>
            <w:tcBorders>
              <w:top w:val="single" w:sz="8" w:space="0" w:color="000000"/>
              <w:left w:val="single" w:sz="8" w:space="0" w:color="000000"/>
              <w:bottom w:val="nil"/>
              <w:right w:val="single" w:sz="8" w:space="0" w:color="000000"/>
            </w:tcBorders>
            <w:vAlign w:val="center"/>
          </w:tcPr>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Khoa học và Công nghệ</w:t>
            </w:r>
          </w:p>
        </w:tc>
      </w:tr>
      <w:tr w:rsidR="00A1279B" w:rsidRPr="00B6091B" w:rsidTr="000C2203">
        <w:trPr>
          <w:trHeight w:val="4140"/>
        </w:trPr>
        <w:tc>
          <w:tcPr>
            <w:tcW w:w="382" w:type="pct"/>
            <w:tcBorders>
              <w:top w:val="single" w:sz="8" w:space="0" w:color="000000"/>
              <w:left w:val="single" w:sz="8" w:space="0" w:color="000000"/>
              <w:right w:val="nil"/>
            </w:tcBorders>
          </w:tcPr>
          <w:p w:rsidR="00A1279B" w:rsidRPr="00B6091B" w:rsidRDefault="00A1279B" w:rsidP="000C2203">
            <w:pPr>
              <w:spacing w:after="0" w:line="240" w:lineRule="auto"/>
              <w:jc w:val="center"/>
              <w:rPr>
                <w:rFonts w:ascii="Arial" w:hAnsi="Arial" w:cs="Arial"/>
                <w:color w:val="000000" w:themeColor="text1"/>
                <w:sz w:val="20"/>
                <w:szCs w:val="20"/>
              </w:rPr>
            </w:pPr>
          </w:p>
        </w:tc>
        <w:tc>
          <w:tcPr>
            <w:tcW w:w="3698" w:type="pct"/>
            <w:tcBorders>
              <w:top w:val="single" w:sz="8" w:space="0" w:color="000000"/>
              <w:left w:val="single" w:sz="8" w:space="0" w:color="000000"/>
              <w:right w:val="nil"/>
            </w:tcBorders>
            <w:vAlign w:val="bottom"/>
          </w:tcPr>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 Hệ thống, thiết bị viễn thông, linh kiện và phụ kiện được thiết kế đặc biệt để chịu được bất kỳ đặc điểm nào sau đây:</w:t>
            </w:r>
          </w:p>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 Các hiệu ứng xung điện tử;</w:t>
            </w:r>
          </w:p>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 Chịu được tia gamma, bức xạ neutron hoặc ion;</w:t>
            </w:r>
          </w:p>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 Hoạt động ở nhiệt độ thấp (dưới -55°C) hoặc nhiệt độ cao (trên 124°C).</w:t>
            </w:r>
          </w:p>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(ii) Thiết bị chặn hoặc gây nhiễu viễn thông di động.</w:t>
            </w:r>
          </w:p>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 xml:space="preserve">(iii) Thiết bị đo từ xa và điều khiển từ xa, bao gồm thiết bị mặt đất, được thiết kế hoặc </w:t>
            </w:r>
            <w:r>
              <w:rPr>
                <w:rFonts w:ascii="Arial" w:hAnsi="Arial" w:cs="Arial"/>
                <w:color w:val="000000" w:themeColor="text1"/>
                <w:sz w:val="20"/>
                <w:szCs w:val="20"/>
              </w:rPr>
              <w:t>chuyển đổi</w:t>
            </w:r>
            <w:r w:rsidRPr="00B6091B">
              <w:rPr>
                <w:rFonts w:ascii="Arial" w:hAnsi="Arial" w:cs="Arial"/>
                <w:color w:val="000000" w:themeColor="text1"/>
                <w:sz w:val="20"/>
                <w:szCs w:val="20"/>
              </w:rPr>
              <w:t xml:space="preserve"> cho phương tiện bay không người lái.</w:t>
            </w:r>
          </w:p>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(iv) Từ kế, thiết bị đo biến thiên từ trường, cảm biến điện trường dưới nước, thiết bị thu sóng điện từ dưới nước có tích hợp cảm biến từ trường.</w:t>
            </w:r>
          </w:p>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(v) Trọng lực kế có độ chính xác cao, thiết bị đo biến thiên trọng lực.</w:t>
            </w:r>
          </w:p>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(vi) Máy ảnh tốc độ cao.</w:t>
            </w:r>
          </w:p>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(vii) Máy quay truyền hình chịu bức xạ. (viii) Máy giao thoa vận tốc để đo vận tốc vượt quá 1 km/giây trong khoảng thời gian dưới 10 micro giây.</w:t>
            </w:r>
          </w:p>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(ix) Đồng hồ đo áp suất có khả năng đo áp suất lớ</w:t>
            </w:r>
            <w:r>
              <w:rPr>
                <w:rFonts w:ascii="Arial" w:hAnsi="Arial" w:cs="Arial"/>
                <w:color w:val="000000" w:themeColor="text1"/>
                <w:sz w:val="20"/>
                <w:szCs w:val="20"/>
              </w:rPr>
              <w:t>n hơn 10 Gp</w:t>
            </w:r>
            <w:r w:rsidRPr="00B6091B">
              <w:rPr>
                <w:rFonts w:ascii="Arial" w:hAnsi="Arial" w:cs="Arial"/>
                <w:color w:val="000000" w:themeColor="text1"/>
                <w:sz w:val="20"/>
                <w:szCs w:val="20"/>
              </w:rPr>
              <w:t>a.</w:t>
            </w:r>
          </w:p>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(x) Thiết bị âm thanh trên biển hoặc trên cạn, có khả năng phát hiện hoặc định vị các vật thể hoặc đặc điểm dưới nước hoặc định vị tàu nổi hoặc phương tiện dưới nước.</w:t>
            </w:r>
          </w:p>
        </w:tc>
        <w:tc>
          <w:tcPr>
            <w:tcW w:w="919" w:type="pct"/>
            <w:tcBorders>
              <w:top w:val="single" w:sz="8" w:space="0" w:color="000000"/>
              <w:left w:val="single" w:sz="8" w:space="0" w:color="000000"/>
              <w:right w:val="single" w:sz="8" w:space="0" w:color="000000"/>
            </w:tcBorders>
          </w:tcPr>
          <w:p w:rsidR="00A1279B" w:rsidRPr="00B6091B" w:rsidRDefault="00A1279B" w:rsidP="000C2203">
            <w:pPr>
              <w:spacing w:after="0" w:line="240" w:lineRule="auto"/>
              <w:rPr>
                <w:rFonts w:ascii="Arial" w:hAnsi="Arial" w:cs="Arial"/>
                <w:color w:val="000000" w:themeColor="text1"/>
                <w:sz w:val="20"/>
                <w:szCs w:val="20"/>
              </w:rPr>
            </w:pPr>
          </w:p>
        </w:tc>
      </w:tr>
      <w:tr w:rsidR="00A1279B" w:rsidRPr="00B6091B" w:rsidTr="000C2203">
        <w:tc>
          <w:tcPr>
            <w:tcW w:w="382" w:type="pct"/>
            <w:tcBorders>
              <w:top w:val="single" w:sz="8" w:space="0" w:color="000000"/>
              <w:left w:val="single" w:sz="8" w:space="0" w:color="000000"/>
              <w:bottom w:val="nil"/>
              <w:right w:val="nil"/>
            </w:tcBorders>
            <w:vAlign w:val="center"/>
          </w:tcPr>
          <w:p w:rsidR="00A1279B" w:rsidRPr="00B6091B" w:rsidRDefault="00A1279B" w:rsidP="000C2203">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5</w:t>
            </w:r>
          </w:p>
        </w:tc>
        <w:tc>
          <w:tcPr>
            <w:tcW w:w="3698" w:type="pct"/>
            <w:tcBorders>
              <w:top w:val="single" w:sz="8" w:space="0" w:color="000000"/>
              <w:left w:val="single" w:sz="8" w:space="0" w:color="000000"/>
              <w:bottom w:val="nil"/>
              <w:right w:val="nil"/>
            </w:tcBorders>
            <w:vAlign w:val="center"/>
          </w:tcPr>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Hàng không</w:t>
            </w:r>
          </w:p>
        </w:tc>
        <w:tc>
          <w:tcPr>
            <w:tcW w:w="919" w:type="pct"/>
            <w:tcBorders>
              <w:top w:val="single" w:sz="8" w:space="0" w:color="000000"/>
              <w:left w:val="single" w:sz="8" w:space="0" w:color="000000"/>
              <w:bottom w:val="nil"/>
              <w:right w:val="single" w:sz="8" w:space="0" w:color="000000"/>
            </w:tcBorders>
            <w:vAlign w:val="center"/>
          </w:tcPr>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Xây dựng</w:t>
            </w:r>
          </w:p>
        </w:tc>
      </w:tr>
      <w:tr w:rsidR="00A1279B" w:rsidRPr="00B6091B" w:rsidTr="000C2203">
        <w:tc>
          <w:tcPr>
            <w:tcW w:w="382" w:type="pct"/>
            <w:tcBorders>
              <w:top w:val="single" w:sz="8" w:space="0" w:color="000000"/>
              <w:left w:val="single" w:sz="8" w:space="0" w:color="000000"/>
              <w:bottom w:val="nil"/>
              <w:right w:val="nil"/>
            </w:tcBorders>
          </w:tcPr>
          <w:p w:rsidR="00A1279B" w:rsidRPr="00B6091B" w:rsidRDefault="00A1279B" w:rsidP="000C2203">
            <w:pPr>
              <w:spacing w:after="0" w:line="240" w:lineRule="auto"/>
              <w:jc w:val="center"/>
              <w:rPr>
                <w:rFonts w:ascii="Arial" w:hAnsi="Arial" w:cs="Arial"/>
                <w:color w:val="000000" w:themeColor="text1"/>
                <w:sz w:val="20"/>
                <w:szCs w:val="20"/>
              </w:rPr>
            </w:pPr>
          </w:p>
        </w:tc>
        <w:tc>
          <w:tcPr>
            <w:tcW w:w="3698" w:type="pct"/>
            <w:tcBorders>
              <w:top w:val="single" w:sz="8" w:space="0" w:color="000000"/>
              <w:left w:val="single" w:sz="8" w:space="0" w:color="000000"/>
              <w:bottom w:val="nil"/>
              <w:right w:val="nil"/>
            </w:tcBorders>
            <w:vAlign w:val="bottom"/>
          </w:tcPr>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 Gia tốc kế tuyến tính, gia tốc kế góc hoặc gia tốc kế quay.</w:t>
            </w:r>
          </w:p>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(ii) Con quay hồi chuyển hoặc cảm biến tốc độ góc được chỉ định hoạt động ở mức gia tốc tuyến tính nhỏ.</w:t>
            </w:r>
          </w:p>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(iii) Thiết bị hoặc hệ thống đo quán tính thiết kế cho máy bay, cung cấp vị trí mà không cần sử dụng “tham chiếu hỗ trợ vị trí”.</w:t>
            </w:r>
          </w:p>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(iv) Máy theo dõi sao (Star trackers) có độ chính xác cao và linh kiện.</w:t>
            </w:r>
          </w:p>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(v) Thiết bị nhận tín hiệu từ Hệ thống Dẫn đường Vệ tinh Toàn cầu (GNSS).</w:t>
            </w:r>
          </w:p>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(vi) Máy đo độ cao trên không hoạt động ở tần số khác ngoài phạm vi từ 4.2 đến 4.4 GHz.</w:t>
            </w:r>
          </w:p>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(vii) Động cơ tuabin khí hàng không, được thiết kế để cung cấp năng lượng cho máy bay để bay ở tốc độ Mach 1 hoặc cao hơn, trong hơn 30 phút.</w:t>
            </w:r>
          </w:p>
        </w:tc>
        <w:tc>
          <w:tcPr>
            <w:tcW w:w="919" w:type="pct"/>
            <w:tcBorders>
              <w:top w:val="single" w:sz="8" w:space="0" w:color="000000"/>
              <w:left w:val="single" w:sz="8" w:space="0" w:color="000000"/>
              <w:bottom w:val="nil"/>
              <w:right w:val="single" w:sz="8" w:space="0" w:color="000000"/>
            </w:tcBorders>
          </w:tcPr>
          <w:p w:rsidR="00A1279B" w:rsidRPr="00B6091B" w:rsidRDefault="00A1279B" w:rsidP="000C2203">
            <w:pPr>
              <w:spacing w:after="0" w:line="240" w:lineRule="auto"/>
              <w:rPr>
                <w:rFonts w:ascii="Arial" w:hAnsi="Arial" w:cs="Arial"/>
                <w:color w:val="000000" w:themeColor="text1"/>
                <w:sz w:val="20"/>
                <w:szCs w:val="20"/>
              </w:rPr>
            </w:pPr>
          </w:p>
        </w:tc>
      </w:tr>
      <w:tr w:rsidR="00A1279B" w:rsidRPr="00B6091B" w:rsidTr="000C2203">
        <w:tc>
          <w:tcPr>
            <w:tcW w:w="382" w:type="pct"/>
            <w:tcBorders>
              <w:top w:val="single" w:sz="8" w:space="0" w:color="000000"/>
              <w:left w:val="single" w:sz="8" w:space="0" w:color="000000"/>
              <w:bottom w:val="nil"/>
              <w:right w:val="nil"/>
            </w:tcBorders>
            <w:vAlign w:val="center"/>
          </w:tcPr>
          <w:p w:rsidR="00A1279B" w:rsidRPr="00B6091B" w:rsidRDefault="00A1279B" w:rsidP="000C2203">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6</w:t>
            </w:r>
          </w:p>
        </w:tc>
        <w:tc>
          <w:tcPr>
            <w:tcW w:w="3698" w:type="pct"/>
            <w:tcBorders>
              <w:top w:val="single" w:sz="8" w:space="0" w:color="000000"/>
              <w:left w:val="single" w:sz="8" w:space="0" w:color="000000"/>
              <w:bottom w:val="nil"/>
              <w:right w:val="nil"/>
            </w:tcBorders>
            <w:vAlign w:val="center"/>
          </w:tcPr>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Hàng hải</w:t>
            </w:r>
          </w:p>
        </w:tc>
        <w:tc>
          <w:tcPr>
            <w:tcW w:w="919" w:type="pct"/>
            <w:tcBorders>
              <w:top w:val="single" w:sz="8" w:space="0" w:color="000000"/>
              <w:left w:val="single" w:sz="8" w:space="0" w:color="000000"/>
              <w:bottom w:val="nil"/>
              <w:right w:val="single" w:sz="8" w:space="0" w:color="000000"/>
            </w:tcBorders>
            <w:vAlign w:val="center"/>
          </w:tcPr>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Xây dựng</w:t>
            </w:r>
          </w:p>
        </w:tc>
      </w:tr>
      <w:tr w:rsidR="00A1279B" w:rsidRPr="00B6091B" w:rsidTr="000C2203">
        <w:trPr>
          <w:trHeight w:val="1380"/>
        </w:trPr>
        <w:tc>
          <w:tcPr>
            <w:tcW w:w="382" w:type="pct"/>
            <w:tcBorders>
              <w:top w:val="single" w:sz="8" w:space="0" w:color="000000"/>
              <w:left w:val="single" w:sz="8" w:space="0" w:color="000000"/>
              <w:right w:val="nil"/>
            </w:tcBorders>
          </w:tcPr>
          <w:p w:rsidR="00A1279B" w:rsidRPr="00B6091B" w:rsidRDefault="00A1279B" w:rsidP="000C2203">
            <w:pPr>
              <w:spacing w:after="0" w:line="240" w:lineRule="auto"/>
              <w:jc w:val="center"/>
              <w:rPr>
                <w:rFonts w:ascii="Arial" w:hAnsi="Arial" w:cs="Arial"/>
                <w:color w:val="000000" w:themeColor="text1"/>
                <w:sz w:val="20"/>
                <w:szCs w:val="20"/>
              </w:rPr>
            </w:pPr>
          </w:p>
        </w:tc>
        <w:tc>
          <w:tcPr>
            <w:tcW w:w="3698" w:type="pct"/>
            <w:tcBorders>
              <w:top w:val="single" w:sz="8" w:space="0" w:color="000000"/>
              <w:left w:val="single" w:sz="8" w:space="0" w:color="000000"/>
              <w:right w:val="nil"/>
            </w:tcBorders>
            <w:vAlign w:val="bottom"/>
          </w:tcPr>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 Các phương tiện lặn có người lái được thiết kế để hoạt động ở độ sâu trên 1.000 m.</w:t>
            </w:r>
            <w:r>
              <w:rPr>
                <w:rFonts w:ascii="Arial" w:hAnsi="Arial" w:cs="Arial"/>
                <w:color w:val="000000" w:themeColor="text1"/>
                <w:sz w:val="20"/>
                <w:szCs w:val="20"/>
              </w:rPr>
              <w:t xml:space="preserve"> </w:t>
            </w:r>
          </w:p>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(ii) Hệ thống, thiết bị, linh kiện được thiết kế đặc biệt cho các phương tiện lặn hoạt động ở độ sâu trên 1.000 m.</w:t>
            </w:r>
          </w:p>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(iii) Động cơ diesel có công suất 1.500 mã lực trở lên với tốc độ quay 700 vòng/phút trở lên, được thiết kế đặc biệt cho tàu ngầm.</w:t>
            </w:r>
          </w:p>
        </w:tc>
        <w:tc>
          <w:tcPr>
            <w:tcW w:w="919" w:type="pct"/>
            <w:tcBorders>
              <w:top w:val="single" w:sz="8" w:space="0" w:color="000000"/>
              <w:left w:val="single" w:sz="8" w:space="0" w:color="000000"/>
              <w:right w:val="single" w:sz="8" w:space="0" w:color="000000"/>
            </w:tcBorders>
          </w:tcPr>
          <w:p w:rsidR="00A1279B" w:rsidRPr="00B6091B" w:rsidRDefault="00A1279B" w:rsidP="000C2203">
            <w:pPr>
              <w:spacing w:after="0" w:line="240" w:lineRule="auto"/>
              <w:rPr>
                <w:rFonts w:ascii="Arial" w:hAnsi="Arial" w:cs="Arial"/>
                <w:color w:val="000000" w:themeColor="text1"/>
                <w:sz w:val="20"/>
                <w:szCs w:val="20"/>
              </w:rPr>
            </w:pPr>
          </w:p>
        </w:tc>
      </w:tr>
      <w:tr w:rsidR="00A1279B" w:rsidRPr="00B6091B" w:rsidTr="000C2203">
        <w:tc>
          <w:tcPr>
            <w:tcW w:w="382" w:type="pct"/>
            <w:tcBorders>
              <w:top w:val="single" w:sz="8" w:space="0" w:color="000000"/>
              <w:left w:val="single" w:sz="8" w:space="0" w:color="000000"/>
              <w:bottom w:val="nil"/>
              <w:right w:val="nil"/>
            </w:tcBorders>
            <w:vAlign w:val="center"/>
          </w:tcPr>
          <w:p w:rsidR="00A1279B" w:rsidRPr="00B6091B" w:rsidRDefault="00A1279B" w:rsidP="000C2203">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7</w:t>
            </w:r>
          </w:p>
        </w:tc>
        <w:tc>
          <w:tcPr>
            <w:tcW w:w="3698" w:type="pct"/>
            <w:tcBorders>
              <w:top w:val="single" w:sz="8" w:space="0" w:color="000000"/>
              <w:left w:val="single" w:sz="8" w:space="0" w:color="000000"/>
              <w:bottom w:val="nil"/>
              <w:right w:val="nil"/>
            </w:tcBorders>
            <w:vAlign w:val="bottom"/>
          </w:tcPr>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Tác nhân sinh học gây bệnh cho người và độc tố (vi-rút, vi khuẩn, nấm, độc tố).</w:t>
            </w:r>
          </w:p>
        </w:tc>
        <w:tc>
          <w:tcPr>
            <w:tcW w:w="919" w:type="pct"/>
            <w:tcBorders>
              <w:top w:val="single" w:sz="8" w:space="0" w:color="000000"/>
              <w:left w:val="single" w:sz="8" w:space="0" w:color="000000"/>
              <w:bottom w:val="nil"/>
              <w:right w:val="single" w:sz="8" w:space="0" w:color="000000"/>
            </w:tcBorders>
          </w:tcPr>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Y tế</w:t>
            </w:r>
          </w:p>
        </w:tc>
      </w:tr>
      <w:tr w:rsidR="00A1279B" w:rsidRPr="00B6091B" w:rsidTr="000C2203">
        <w:tc>
          <w:tcPr>
            <w:tcW w:w="382" w:type="pct"/>
            <w:tcBorders>
              <w:top w:val="single" w:sz="8" w:space="0" w:color="000000"/>
              <w:left w:val="single" w:sz="8" w:space="0" w:color="000000"/>
              <w:bottom w:val="nil"/>
              <w:right w:val="nil"/>
            </w:tcBorders>
            <w:vAlign w:val="center"/>
          </w:tcPr>
          <w:p w:rsidR="00A1279B" w:rsidRPr="00B6091B" w:rsidRDefault="00A1279B" w:rsidP="000C2203">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8</w:t>
            </w:r>
          </w:p>
        </w:tc>
        <w:tc>
          <w:tcPr>
            <w:tcW w:w="3698" w:type="pct"/>
            <w:tcBorders>
              <w:top w:val="single" w:sz="8" w:space="0" w:color="000000"/>
              <w:left w:val="single" w:sz="8" w:space="0" w:color="000000"/>
              <w:bottom w:val="nil"/>
              <w:right w:val="nil"/>
            </w:tcBorders>
            <w:vAlign w:val="center"/>
          </w:tcPr>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Hóa chất</w:t>
            </w:r>
          </w:p>
        </w:tc>
        <w:tc>
          <w:tcPr>
            <w:tcW w:w="919" w:type="pct"/>
            <w:tcBorders>
              <w:top w:val="single" w:sz="8" w:space="0" w:color="000000"/>
              <w:left w:val="single" w:sz="8" w:space="0" w:color="000000"/>
              <w:bottom w:val="nil"/>
              <w:right w:val="single" w:sz="8" w:space="0" w:color="000000"/>
            </w:tcBorders>
            <w:vAlign w:val="center"/>
          </w:tcPr>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Công Thương</w:t>
            </w:r>
          </w:p>
        </w:tc>
      </w:tr>
      <w:tr w:rsidR="00A1279B" w:rsidRPr="00B6091B" w:rsidTr="000C2203">
        <w:tc>
          <w:tcPr>
            <w:tcW w:w="382" w:type="pct"/>
            <w:tcBorders>
              <w:top w:val="single" w:sz="8" w:space="0" w:color="000000"/>
              <w:left w:val="single" w:sz="8" w:space="0" w:color="000000"/>
              <w:bottom w:val="nil"/>
              <w:right w:val="nil"/>
            </w:tcBorders>
          </w:tcPr>
          <w:p w:rsidR="00A1279B" w:rsidRPr="00B6091B" w:rsidRDefault="00A1279B" w:rsidP="000C2203">
            <w:pPr>
              <w:spacing w:after="0" w:line="240" w:lineRule="auto"/>
              <w:jc w:val="center"/>
              <w:rPr>
                <w:rFonts w:ascii="Arial" w:hAnsi="Arial" w:cs="Arial"/>
                <w:color w:val="000000" w:themeColor="text1"/>
                <w:sz w:val="20"/>
                <w:szCs w:val="20"/>
              </w:rPr>
            </w:pPr>
          </w:p>
        </w:tc>
        <w:tc>
          <w:tcPr>
            <w:tcW w:w="3698" w:type="pct"/>
            <w:tcBorders>
              <w:top w:val="single" w:sz="8" w:space="0" w:color="000000"/>
              <w:left w:val="single" w:sz="8" w:space="0" w:color="000000"/>
              <w:bottom w:val="nil"/>
              <w:right w:val="nil"/>
            </w:tcBorders>
            <w:vAlign w:val="bottom"/>
          </w:tcPr>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 Vật liệu nổ công nghiệp.</w:t>
            </w:r>
          </w:p>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(ii) Tiền chất thuốc nổ sử dụng để sản xuất vật liệu nổ công nghiệp.</w:t>
            </w:r>
          </w:p>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(iii) Các hydride của phốt pho, asen hoặc antimon, có độ tinh khiết cao.</w:t>
            </w:r>
          </w:p>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(iv) Hợp chất hữu cơ-kim loại của nhôm, gallium hoặc indium, có độ tinh khiết cao.</w:t>
            </w:r>
          </w:p>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(v) Hợp chất hữu cơ-asen, hợp chất hữu cơ-antimon và hợp chất hữu cơ-phốt pho có độ tinh khiết cao.</w:t>
            </w:r>
          </w:p>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(vi) Bọt tổng hợp (syntactic foam) được thiết kế cho việc sử dụng dưới nước độ sâu không quá 1.000 m và có mật độ dướ</w:t>
            </w:r>
            <w:r>
              <w:rPr>
                <w:rFonts w:ascii="Arial" w:hAnsi="Arial" w:cs="Arial"/>
                <w:color w:val="000000" w:themeColor="text1"/>
                <w:sz w:val="20"/>
                <w:szCs w:val="20"/>
              </w:rPr>
              <w:t>i 561 kg/m</w:t>
            </w:r>
            <w:r w:rsidRPr="00B6091B">
              <w:rPr>
                <w:rFonts w:ascii="Arial" w:hAnsi="Arial" w:cs="Arial"/>
                <w:color w:val="000000" w:themeColor="text1"/>
                <w:sz w:val="20"/>
                <w:szCs w:val="20"/>
                <w:vertAlign w:val="superscript"/>
              </w:rPr>
              <w:t>3</w:t>
            </w:r>
            <w:r w:rsidRPr="00B6091B">
              <w:rPr>
                <w:rFonts w:ascii="Arial" w:hAnsi="Arial" w:cs="Arial"/>
                <w:color w:val="000000" w:themeColor="text1"/>
                <w:sz w:val="20"/>
                <w:szCs w:val="20"/>
              </w:rPr>
              <w:t xml:space="preserve"> .</w:t>
            </w:r>
          </w:p>
        </w:tc>
        <w:tc>
          <w:tcPr>
            <w:tcW w:w="919" w:type="pct"/>
            <w:tcBorders>
              <w:top w:val="single" w:sz="8" w:space="0" w:color="000000"/>
              <w:left w:val="single" w:sz="8" w:space="0" w:color="000000"/>
              <w:bottom w:val="nil"/>
              <w:right w:val="single" w:sz="8" w:space="0" w:color="000000"/>
            </w:tcBorders>
          </w:tcPr>
          <w:p w:rsidR="00A1279B" w:rsidRPr="00B6091B" w:rsidRDefault="00A1279B" w:rsidP="000C2203">
            <w:pPr>
              <w:spacing w:after="0" w:line="240" w:lineRule="auto"/>
              <w:rPr>
                <w:rFonts w:ascii="Arial" w:hAnsi="Arial" w:cs="Arial"/>
                <w:color w:val="000000" w:themeColor="text1"/>
                <w:sz w:val="20"/>
                <w:szCs w:val="20"/>
              </w:rPr>
            </w:pPr>
          </w:p>
        </w:tc>
      </w:tr>
      <w:tr w:rsidR="00A1279B" w:rsidRPr="00B6091B" w:rsidTr="000C2203">
        <w:tc>
          <w:tcPr>
            <w:tcW w:w="382" w:type="pct"/>
            <w:tcBorders>
              <w:top w:val="single" w:sz="8" w:space="0" w:color="000000"/>
              <w:left w:val="single" w:sz="8" w:space="0" w:color="000000"/>
              <w:bottom w:val="nil"/>
              <w:right w:val="nil"/>
            </w:tcBorders>
            <w:vAlign w:val="center"/>
          </w:tcPr>
          <w:p w:rsidR="00A1279B" w:rsidRPr="00B6091B" w:rsidRDefault="00A1279B" w:rsidP="000C2203">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9</w:t>
            </w:r>
          </w:p>
        </w:tc>
        <w:tc>
          <w:tcPr>
            <w:tcW w:w="3698" w:type="pct"/>
            <w:tcBorders>
              <w:top w:val="single" w:sz="8" w:space="0" w:color="000000"/>
              <w:left w:val="single" w:sz="8" w:space="0" w:color="000000"/>
              <w:bottom w:val="nil"/>
              <w:right w:val="nil"/>
            </w:tcBorders>
            <w:vAlign w:val="center"/>
          </w:tcPr>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Kim loại, hợp kim</w:t>
            </w:r>
          </w:p>
        </w:tc>
        <w:tc>
          <w:tcPr>
            <w:tcW w:w="919" w:type="pct"/>
            <w:tcBorders>
              <w:top w:val="single" w:sz="8" w:space="0" w:color="000000"/>
              <w:left w:val="single" w:sz="8" w:space="0" w:color="000000"/>
              <w:bottom w:val="nil"/>
              <w:right w:val="single" w:sz="8" w:space="0" w:color="000000"/>
            </w:tcBorders>
            <w:vAlign w:val="center"/>
          </w:tcPr>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Công Thương</w:t>
            </w:r>
          </w:p>
        </w:tc>
      </w:tr>
      <w:tr w:rsidR="00A1279B" w:rsidRPr="00267F80" w:rsidTr="000C2203">
        <w:trPr>
          <w:trHeight w:val="2990"/>
        </w:trPr>
        <w:tc>
          <w:tcPr>
            <w:tcW w:w="382" w:type="pct"/>
            <w:tcBorders>
              <w:top w:val="single" w:sz="8" w:space="0" w:color="000000"/>
              <w:left w:val="single" w:sz="8" w:space="0" w:color="000000"/>
              <w:right w:val="nil"/>
            </w:tcBorders>
          </w:tcPr>
          <w:p w:rsidR="00A1279B" w:rsidRPr="00B6091B" w:rsidRDefault="00A1279B" w:rsidP="000C2203">
            <w:pPr>
              <w:spacing w:after="0" w:line="240" w:lineRule="auto"/>
              <w:jc w:val="center"/>
              <w:rPr>
                <w:rFonts w:ascii="Arial" w:hAnsi="Arial" w:cs="Arial"/>
                <w:color w:val="000000" w:themeColor="text1"/>
                <w:sz w:val="20"/>
                <w:szCs w:val="20"/>
              </w:rPr>
            </w:pPr>
          </w:p>
        </w:tc>
        <w:tc>
          <w:tcPr>
            <w:tcW w:w="3698" w:type="pct"/>
            <w:tcBorders>
              <w:top w:val="single" w:sz="8" w:space="0" w:color="000000"/>
              <w:left w:val="single" w:sz="8" w:space="0" w:color="000000"/>
              <w:right w:val="nil"/>
            </w:tcBorders>
            <w:vAlign w:val="center"/>
          </w:tcPr>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 Hợp kim magie có độ bền cao.</w:t>
            </w:r>
          </w:p>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(ii) Hợp kim niken có độ bền cao.</w:t>
            </w:r>
          </w:p>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(iii) Hợp kim titan có độ bền cao.</w:t>
            </w:r>
          </w:p>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(iv) Hợp kim nhôm có độ bền cao.</w:t>
            </w:r>
          </w:p>
          <w:p w:rsidR="00A1279B" w:rsidRPr="00B6091B" w:rsidRDefault="00A1279B" w:rsidP="000C2203">
            <w:pPr>
              <w:spacing w:after="0" w:line="240" w:lineRule="auto"/>
              <w:rPr>
                <w:rFonts w:ascii="Arial" w:hAnsi="Arial" w:cs="Arial"/>
                <w:color w:val="000000" w:themeColor="text1"/>
                <w:sz w:val="20"/>
                <w:szCs w:val="20"/>
                <w:lang w:val="fr-FR"/>
              </w:rPr>
            </w:pPr>
            <w:r w:rsidRPr="00B6091B">
              <w:rPr>
                <w:rFonts w:ascii="Arial" w:hAnsi="Arial" w:cs="Arial"/>
                <w:color w:val="000000" w:themeColor="text1"/>
                <w:sz w:val="20"/>
                <w:szCs w:val="20"/>
                <w:lang w:val="fr-FR"/>
              </w:rPr>
              <w:t>(v) Thép siêu bền maraging.</w:t>
            </w:r>
          </w:p>
          <w:p w:rsidR="00A1279B" w:rsidRPr="00B6091B" w:rsidRDefault="00A1279B" w:rsidP="000C2203">
            <w:pPr>
              <w:spacing w:after="0" w:line="240" w:lineRule="auto"/>
              <w:jc w:val="both"/>
              <w:rPr>
                <w:rFonts w:ascii="Arial" w:hAnsi="Arial" w:cs="Arial"/>
                <w:color w:val="000000" w:themeColor="text1"/>
                <w:sz w:val="20"/>
                <w:szCs w:val="20"/>
                <w:lang w:val="fr-FR"/>
              </w:rPr>
            </w:pPr>
            <w:r w:rsidRPr="00B6091B">
              <w:rPr>
                <w:rFonts w:ascii="Arial" w:hAnsi="Arial" w:cs="Arial"/>
                <w:color w:val="000000" w:themeColor="text1"/>
                <w:sz w:val="20"/>
                <w:szCs w:val="20"/>
                <w:lang w:val="fr-FR"/>
              </w:rPr>
              <w:t>(vi) Thép không gỉ có hàm lượng titan trên 0,1%, từ 4,5 - 7% niken và 17 - 23% crom.</w:t>
            </w:r>
          </w:p>
          <w:p w:rsidR="00A1279B" w:rsidRPr="00B6091B" w:rsidRDefault="00A1279B" w:rsidP="000C2203">
            <w:pPr>
              <w:spacing w:after="0" w:line="240" w:lineRule="auto"/>
              <w:jc w:val="both"/>
              <w:rPr>
                <w:rFonts w:ascii="Arial" w:hAnsi="Arial" w:cs="Arial"/>
                <w:color w:val="000000" w:themeColor="text1"/>
                <w:sz w:val="20"/>
                <w:szCs w:val="20"/>
                <w:lang w:val="fr-FR"/>
              </w:rPr>
            </w:pPr>
            <w:r w:rsidRPr="00B6091B">
              <w:rPr>
                <w:rFonts w:ascii="Arial" w:hAnsi="Arial" w:cs="Arial"/>
                <w:color w:val="000000" w:themeColor="text1"/>
                <w:sz w:val="20"/>
                <w:szCs w:val="20"/>
                <w:lang w:val="fr-FR"/>
              </w:rPr>
              <w:t>(vii) Vonfram, cacbua vonfram và hợp kim có hàm lượng vonfram cao.</w:t>
            </w:r>
          </w:p>
          <w:p w:rsidR="00A1279B" w:rsidRPr="00B6091B" w:rsidRDefault="00A1279B" w:rsidP="000C2203">
            <w:pPr>
              <w:spacing w:after="0" w:line="240" w:lineRule="auto"/>
              <w:jc w:val="both"/>
              <w:rPr>
                <w:rFonts w:ascii="Arial" w:hAnsi="Arial" w:cs="Arial"/>
                <w:color w:val="000000" w:themeColor="text1"/>
                <w:sz w:val="20"/>
                <w:szCs w:val="20"/>
                <w:lang w:val="fr-FR"/>
              </w:rPr>
            </w:pPr>
            <w:r w:rsidRPr="00B6091B">
              <w:rPr>
                <w:rFonts w:ascii="Arial" w:hAnsi="Arial" w:cs="Arial"/>
                <w:color w:val="000000" w:themeColor="text1"/>
                <w:sz w:val="20"/>
                <w:szCs w:val="20"/>
                <w:lang w:val="fr-FR"/>
              </w:rPr>
              <w:t>(viii) Molypden và hợp kim có hàm lượng molypden cao.</w:t>
            </w:r>
          </w:p>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(ix) Bismuth có độ tinh khiết cao.</w:t>
            </w:r>
          </w:p>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(x) Magie có độ tinh khiết cao.</w:t>
            </w:r>
          </w:p>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(xi) Canxi có độ tinh khiết cao.</w:t>
            </w:r>
          </w:p>
          <w:p w:rsidR="00A1279B" w:rsidRDefault="00A1279B" w:rsidP="000C2203">
            <w:pPr>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(xii) Hafnium</w:t>
            </w:r>
            <w:r w:rsidRPr="00B6091B">
              <w:rPr>
                <w:rFonts w:ascii="Arial" w:hAnsi="Arial" w:cs="Arial"/>
                <w:color w:val="000000" w:themeColor="text1"/>
                <w:sz w:val="20"/>
                <w:szCs w:val="20"/>
              </w:rPr>
              <w:t xml:space="preserve"> và hợp kim củ</w:t>
            </w:r>
            <w:r>
              <w:rPr>
                <w:rFonts w:ascii="Arial" w:hAnsi="Arial" w:cs="Arial"/>
                <w:color w:val="000000" w:themeColor="text1"/>
                <w:sz w:val="20"/>
                <w:szCs w:val="20"/>
              </w:rPr>
              <w:t>a Hafni</w:t>
            </w:r>
            <w:r w:rsidRPr="00B6091B">
              <w:rPr>
                <w:rFonts w:ascii="Arial" w:hAnsi="Arial" w:cs="Arial"/>
                <w:color w:val="000000" w:themeColor="text1"/>
                <w:sz w:val="20"/>
                <w:szCs w:val="20"/>
              </w:rPr>
              <w:t>um.</w:t>
            </w:r>
          </w:p>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(xiii) Beri và hợp kim của Beri.</w:t>
            </w:r>
          </w:p>
          <w:p w:rsidR="00A1279B" w:rsidRPr="00267F80"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(xiv) Rheni và hợp kim của Rheni.</w:t>
            </w:r>
          </w:p>
        </w:tc>
        <w:tc>
          <w:tcPr>
            <w:tcW w:w="919" w:type="pct"/>
            <w:tcBorders>
              <w:top w:val="single" w:sz="8" w:space="0" w:color="000000"/>
              <w:left w:val="single" w:sz="8" w:space="0" w:color="000000"/>
              <w:right w:val="single" w:sz="8" w:space="0" w:color="000000"/>
            </w:tcBorders>
          </w:tcPr>
          <w:p w:rsidR="00A1279B" w:rsidRPr="00267F80" w:rsidRDefault="00A1279B" w:rsidP="000C2203">
            <w:pPr>
              <w:spacing w:after="0" w:line="240" w:lineRule="auto"/>
              <w:rPr>
                <w:rFonts w:ascii="Arial" w:hAnsi="Arial" w:cs="Arial"/>
                <w:color w:val="000000" w:themeColor="text1"/>
                <w:sz w:val="20"/>
                <w:szCs w:val="20"/>
              </w:rPr>
            </w:pPr>
          </w:p>
        </w:tc>
      </w:tr>
      <w:tr w:rsidR="00A1279B" w:rsidRPr="00B6091B" w:rsidTr="000C2203">
        <w:tc>
          <w:tcPr>
            <w:tcW w:w="382" w:type="pct"/>
            <w:tcBorders>
              <w:top w:val="single" w:sz="8" w:space="0" w:color="000000"/>
              <w:left w:val="single" w:sz="8" w:space="0" w:color="000000"/>
              <w:bottom w:val="single" w:sz="8" w:space="0" w:color="000000"/>
              <w:right w:val="nil"/>
            </w:tcBorders>
            <w:vAlign w:val="center"/>
          </w:tcPr>
          <w:p w:rsidR="00A1279B" w:rsidRPr="00B6091B" w:rsidRDefault="00A1279B" w:rsidP="000C2203">
            <w:pPr>
              <w:spacing w:after="0" w:line="240" w:lineRule="auto"/>
              <w:jc w:val="center"/>
              <w:rPr>
                <w:rFonts w:ascii="Arial" w:hAnsi="Arial" w:cs="Arial"/>
                <w:color w:val="000000" w:themeColor="text1"/>
                <w:sz w:val="20"/>
                <w:szCs w:val="20"/>
              </w:rPr>
            </w:pPr>
            <w:r w:rsidRPr="00B6091B">
              <w:rPr>
                <w:rFonts w:ascii="Arial" w:hAnsi="Arial" w:cs="Arial"/>
                <w:color w:val="000000" w:themeColor="text1"/>
                <w:sz w:val="20"/>
                <w:szCs w:val="20"/>
              </w:rPr>
              <w:t>10</w:t>
            </w:r>
          </w:p>
        </w:tc>
        <w:tc>
          <w:tcPr>
            <w:tcW w:w="3698" w:type="pct"/>
            <w:tcBorders>
              <w:top w:val="single" w:sz="8" w:space="0" w:color="000000"/>
              <w:left w:val="single" w:sz="8" w:space="0" w:color="000000"/>
              <w:bottom w:val="single" w:sz="8" w:space="0" w:color="000000"/>
              <w:right w:val="nil"/>
            </w:tcBorders>
            <w:vAlign w:val="bottom"/>
          </w:tcPr>
          <w:p w:rsidR="00A1279B" w:rsidRPr="00B6091B" w:rsidRDefault="00A1279B" w:rsidP="000C2203">
            <w:pPr>
              <w:spacing w:after="0" w:line="240" w:lineRule="auto"/>
              <w:jc w:val="both"/>
              <w:rPr>
                <w:rFonts w:ascii="Arial" w:hAnsi="Arial" w:cs="Arial"/>
                <w:color w:val="000000" w:themeColor="text1"/>
                <w:sz w:val="20"/>
                <w:szCs w:val="20"/>
              </w:rPr>
            </w:pPr>
            <w:r w:rsidRPr="00B6091B">
              <w:rPr>
                <w:rFonts w:ascii="Arial" w:hAnsi="Arial" w:cs="Arial"/>
                <w:color w:val="000000" w:themeColor="text1"/>
                <w:sz w:val="20"/>
                <w:szCs w:val="20"/>
              </w:rPr>
              <w:t>Phương tiện bay không người lái (UAV) có thời gian duy trì hoạt động từ 1 giờ trở lên; hoặc có thời gian duy trì hoạt động từ 30 phút trở lên và được thiết kế để cất cánh và duy trì chuyến bay ổn định trong điều kiện gió giật có tốc độ 46,3 km/h trở lên.</w:t>
            </w:r>
          </w:p>
        </w:tc>
        <w:tc>
          <w:tcPr>
            <w:tcW w:w="919" w:type="pct"/>
            <w:tcBorders>
              <w:top w:val="single" w:sz="8" w:space="0" w:color="000000"/>
              <w:left w:val="single" w:sz="8" w:space="0" w:color="000000"/>
              <w:bottom w:val="single" w:sz="8" w:space="0" w:color="000000"/>
              <w:right w:val="single" w:sz="8" w:space="0" w:color="000000"/>
            </w:tcBorders>
            <w:vAlign w:val="center"/>
          </w:tcPr>
          <w:p w:rsidR="00A1279B" w:rsidRPr="00B6091B" w:rsidRDefault="00A1279B" w:rsidP="000C2203">
            <w:pPr>
              <w:spacing w:after="0" w:line="240" w:lineRule="auto"/>
              <w:rPr>
                <w:rFonts w:ascii="Arial" w:hAnsi="Arial" w:cs="Arial"/>
                <w:color w:val="000000" w:themeColor="text1"/>
                <w:sz w:val="20"/>
                <w:szCs w:val="20"/>
              </w:rPr>
            </w:pPr>
            <w:r w:rsidRPr="00B6091B">
              <w:rPr>
                <w:rFonts w:ascii="Arial" w:hAnsi="Arial" w:cs="Arial"/>
                <w:color w:val="000000" w:themeColor="text1"/>
                <w:sz w:val="20"/>
                <w:szCs w:val="20"/>
              </w:rPr>
              <w:t>Bộ Công Thương</w:t>
            </w:r>
          </w:p>
        </w:tc>
      </w:tr>
    </w:tbl>
    <w:p w:rsidR="0034473B" w:rsidRDefault="00A1279B">
      <w:bookmarkStart w:id="0" w:name="_GoBack"/>
      <w:bookmarkEnd w:id="0"/>
    </w:p>
    <w:sectPr w:rsidR="0034473B" w:rsidSect="00E33319">
      <w:footerReference w:type="default" r:id="rId6"/>
      <w:pgSz w:w="11909" w:h="16834"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79B"/>
    <w:rsid w:val="00017AFF"/>
    <w:rsid w:val="000C3E46"/>
    <w:rsid w:val="0017574B"/>
    <w:rsid w:val="001D103E"/>
    <w:rsid w:val="00211129"/>
    <w:rsid w:val="002377CE"/>
    <w:rsid w:val="002E4ED0"/>
    <w:rsid w:val="002F21D8"/>
    <w:rsid w:val="003A101D"/>
    <w:rsid w:val="00503D2F"/>
    <w:rsid w:val="00571CBC"/>
    <w:rsid w:val="00636D5A"/>
    <w:rsid w:val="00763CD5"/>
    <w:rsid w:val="007F5F1F"/>
    <w:rsid w:val="0083752D"/>
    <w:rsid w:val="00884118"/>
    <w:rsid w:val="008D7CF6"/>
    <w:rsid w:val="00A1279B"/>
    <w:rsid w:val="00A51CA3"/>
    <w:rsid w:val="00AD7094"/>
    <w:rsid w:val="00CF2953"/>
    <w:rsid w:val="00D304B4"/>
    <w:rsid w:val="00DC0EC9"/>
    <w:rsid w:val="00DF3132"/>
    <w:rsid w:val="00E33319"/>
    <w:rsid w:val="00EA3F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98DA4-EECF-4EE2-A444-E56CBFA6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Cs w:val="22"/>
        <w:lang w:val="vi-V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79B"/>
    <w:pPr>
      <w:spacing w:after="160" w:line="259" w:lineRule="auto"/>
      <w:jc w:val="left"/>
    </w:pPr>
    <w:rPr>
      <w:rFonts w:asciiTheme="minorHAnsi" w:eastAsiaTheme="minorEastAsia" w:hAnsiTheme="minorHAnsi" w:cstheme="minorBidi"/>
      <w:color w:val="auto"/>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4996</Characters>
  <Application>Microsoft Office Word</Application>
  <DocSecurity>0</DocSecurity>
  <Lines>41</Lines>
  <Paragraphs>11</Paragraphs>
  <ScaleCrop>false</ScaleCrop>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dc:description/>
  <cp:lastModifiedBy>Phạm Thị Hòa</cp:lastModifiedBy>
  <cp:revision>1</cp:revision>
  <dcterms:created xsi:type="dcterms:W3CDTF">2025-10-13T10:54:00Z</dcterms:created>
  <dcterms:modified xsi:type="dcterms:W3CDTF">2025-10-13T10:54:00Z</dcterms:modified>
</cp:coreProperties>
</file>