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99"/>
      </w:tblGrid>
      <w:tr w:rsidR="00595B3B" w:rsidRPr="008C0828" w14:paraId="4B69B72B" w14:textId="77777777" w:rsidTr="00595B3B">
        <w:tc>
          <w:tcPr>
            <w:tcW w:w="2120" w:type="pct"/>
          </w:tcPr>
          <w:p w14:paraId="603871C5" w14:textId="6D2BD8B1"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lang w:val="en-GB"/>
              </w:rPr>
              <w:t>CHÍNH PHỦ</w:t>
            </w:r>
            <w:r w:rsidRPr="008C0828">
              <w:rPr>
                <w:rFonts w:ascii="Arial" w:hAnsi="Arial" w:cs="Arial"/>
                <w:b/>
                <w:bCs/>
                <w:color w:val="000000" w:themeColor="text1"/>
                <w:sz w:val="20"/>
                <w:szCs w:val="20"/>
                <w:lang w:val="en-GB"/>
              </w:rPr>
              <w:br/>
            </w:r>
            <w:r w:rsidRPr="008C0828">
              <w:rPr>
                <w:rFonts w:ascii="Arial" w:hAnsi="Arial" w:cs="Arial"/>
                <w:color w:val="000000" w:themeColor="text1"/>
                <w:sz w:val="20"/>
                <w:szCs w:val="20"/>
                <w:vertAlign w:val="superscript"/>
                <w:lang w:val="en-GB"/>
              </w:rPr>
              <w:t>______</w:t>
            </w:r>
            <w:r w:rsidRPr="008C0828">
              <w:rPr>
                <w:rFonts w:ascii="Arial" w:hAnsi="Arial" w:cs="Arial"/>
                <w:color w:val="000000" w:themeColor="text1"/>
                <w:sz w:val="20"/>
                <w:szCs w:val="20"/>
                <w:lang w:val="en-GB"/>
              </w:rPr>
              <w:br/>
            </w:r>
            <w:r w:rsidRPr="008C0828">
              <w:rPr>
                <w:rFonts w:ascii="Arial" w:hAnsi="Arial" w:cs="Arial"/>
                <w:color w:val="000000" w:themeColor="text1"/>
                <w:sz w:val="20"/>
                <w:szCs w:val="20"/>
                <w:lang w:val="en-GB"/>
              </w:rPr>
              <w:br/>
              <w:t>Số: 155/2025/NĐ-CP</w:t>
            </w:r>
          </w:p>
        </w:tc>
        <w:tc>
          <w:tcPr>
            <w:tcW w:w="2880" w:type="pct"/>
          </w:tcPr>
          <w:p w14:paraId="70717385" w14:textId="6A878797" w:rsidR="00595B3B" w:rsidRPr="008C0828" w:rsidRDefault="00595B3B" w:rsidP="00AB0162">
            <w:pPr>
              <w:adjustRightInd w:val="0"/>
              <w:snapToGrid w:val="0"/>
              <w:jc w:val="center"/>
              <w:rPr>
                <w:rFonts w:ascii="Arial" w:hAnsi="Arial" w:cs="Arial"/>
                <w:b/>
                <w:bCs/>
                <w:i/>
                <w:iCs/>
                <w:color w:val="000000" w:themeColor="text1"/>
                <w:sz w:val="20"/>
                <w:szCs w:val="20"/>
                <w:lang w:val="en-GB"/>
              </w:rPr>
            </w:pPr>
            <w:r w:rsidRPr="008C0828">
              <w:rPr>
                <w:rFonts w:ascii="Arial" w:hAnsi="Arial" w:cs="Arial"/>
                <w:b/>
                <w:bCs/>
                <w:color w:val="000000" w:themeColor="text1"/>
                <w:sz w:val="20"/>
                <w:szCs w:val="20"/>
                <w:lang w:val="en-GB"/>
              </w:rPr>
              <w:t>CỘNG HÒA XÃ HỘI CHỦ NGHĨA VIỆT NAM</w:t>
            </w:r>
            <w:r w:rsidRPr="008C0828">
              <w:rPr>
                <w:rFonts w:ascii="Arial" w:hAnsi="Arial" w:cs="Arial"/>
                <w:b/>
                <w:bCs/>
                <w:color w:val="000000" w:themeColor="text1"/>
                <w:sz w:val="20"/>
                <w:szCs w:val="20"/>
                <w:lang w:val="en-GB"/>
              </w:rPr>
              <w:br/>
              <w:t>Độc lập – Tự do – Hạnh phúc</w:t>
            </w:r>
            <w:r w:rsidRPr="008C0828">
              <w:rPr>
                <w:rFonts w:ascii="Arial" w:hAnsi="Arial" w:cs="Arial"/>
                <w:b/>
                <w:bCs/>
                <w:color w:val="000000" w:themeColor="text1"/>
                <w:sz w:val="20"/>
                <w:szCs w:val="20"/>
                <w:lang w:val="en-GB"/>
              </w:rPr>
              <w:br/>
            </w:r>
            <w:r w:rsidRPr="008C0828">
              <w:rPr>
                <w:rFonts w:ascii="Arial" w:hAnsi="Arial" w:cs="Arial"/>
                <w:color w:val="000000" w:themeColor="text1"/>
                <w:sz w:val="20"/>
                <w:szCs w:val="20"/>
                <w:vertAlign w:val="superscript"/>
                <w:lang w:val="en-GB"/>
              </w:rPr>
              <w:t>_________________________</w:t>
            </w:r>
            <w:r w:rsidRPr="008C0828">
              <w:rPr>
                <w:rFonts w:ascii="Arial" w:hAnsi="Arial" w:cs="Arial"/>
                <w:color w:val="000000" w:themeColor="text1"/>
                <w:sz w:val="20"/>
                <w:szCs w:val="20"/>
                <w:lang w:val="en-GB"/>
              </w:rPr>
              <w:br/>
            </w:r>
            <w:r w:rsidRPr="008C0828">
              <w:rPr>
                <w:rFonts w:ascii="Arial" w:hAnsi="Arial" w:cs="Arial"/>
                <w:i/>
                <w:iCs/>
                <w:color w:val="000000" w:themeColor="text1"/>
                <w:sz w:val="20"/>
                <w:szCs w:val="20"/>
                <w:lang w:val="en-GB"/>
              </w:rPr>
              <w:t>Hà Nội, ngày 16 tháng 6 năm 2025</w:t>
            </w:r>
          </w:p>
        </w:tc>
      </w:tr>
    </w:tbl>
    <w:p w14:paraId="4D1D0937"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p>
    <w:p w14:paraId="481D9A07" w14:textId="77777777" w:rsidR="00595B3B" w:rsidRPr="008C0828" w:rsidRDefault="00595B3B" w:rsidP="00AB0162">
      <w:pPr>
        <w:adjustRightInd w:val="0"/>
        <w:snapToGrid w:val="0"/>
        <w:rPr>
          <w:rFonts w:ascii="Arial" w:hAnsi="Arial" w:cs="Arial"/>
          <w:b/>
          <w:bCs/>
          <w:color w:val="000000" w:themeColor="text1"/>
          <w:sz w:val="20"/>
          <w:szCs w:val="20"/>
          <w:lang w:val="en-GB"/>
        </w:rPr>
      </w:pPr>
    </w:p>
    <w:p w14:paraId="0416DB64" w14:textId="4624E9E6"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NGHỊ ĐỊNH</w:t>
      </w:r>
    </w:p>
    <w:p w14:paraId="7BEB3AE7"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Quy định tiêu chuẩn, định mức</w:t>
      </w:r>
      <w:r w:rsidRPr="008C0828">
        <w:rPr>
          <w:rFonts w:ascii="Arial" w:hAnsi="Arial" w:cs="Arial"/>
          <w:b/>
          <w:bCs/>
          <w:color w:val="000000" w:themeColor="text1"/>
          <w:sz w:val="20"/>
          <w:szCs w:val="20"/>
        </w:rPr>
        <w:br/>
        <w:t>sử dụng trụ sở làm việc, cơ sở hoạt động sự nghiệp</w:t>
      </w:r>
    </w:p>
    <w:p w14:paraId="2A60DD3A" w14:textId="42A3D69F" w:rsidR="00595B3B" w:rsidRPr="008C0828" w:rsidRDefault="00595B3B" w:rsidP="00AB0162">
      <w:pPr>
        <w:adjustRightInd w:val="0"/>
        <w:snapToGrid w:val="0"/>
        <w:jc w:val="center"/>
        <w:rPr>
          <w:rFonts w:ascii="Arial" w:hAnsi="Arial" w:cs="Arial"/>
          <w:color w:val="000000" w:themeColor="text1"/>
          <w:sz w:val="20"/>
          <w:szCs w:val="20"/>
          <w:vertAlign w:val="superscript"/>
          <w:lang w:val="en-GB"/>
        </w:rPr>
      </w:pPr>
      <w:r w:rsidRPr="008C0828">
        <w:rPr>
          <w:rFonts w:ascii="Arial" w:hAnsi="Arial" w:cs="Arial"/>
          <w:color w:val="000000" w:themeColor="text1"/>
          <w:sz w:val="20"/>
          <w:szCs w:val="20"/>
          <w:vertAlign w:val="superscript"/>
          <w:lang w:val="en-GB"/>
        </w:rPr>
        <w:t>_________</w:t>
      </w:r>
    </w:p>
    <w:p w14:paraId="50C6A28A" w14:textId="77777777" w:rsidR="00595B3B" w:rsidRPr="008C0828" w:rsidRDefault="00595B3B" w:rsidP="00AB0162">
      <w:pPr>
        <w:adjustRightInd w:val="0"/>
        <w:snapToGrid w:val="0"/>
        <w:jc w:val="center"/>
        <w:rPr>
          <w:rFonts w:ascii="Arial" w:hAnsi="Arial" w:cs="Arial"/>
          <w:color w:val="000000" w:themeColor="text1"/>
          <w:sz w:val="20"/>
          <w:szCs w:val="20"/>
          <w:lang w:val="en-GB"/>
        </w:rPr>
      </w:pPr>
    </w:p>
    <w:p w14:paraId="0A3FBD3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Tổ chức Chính phủ năm 2025;</w:t>
      </w:r>
    </w:p>
    <w:p w14:paraId="4A4B7073"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Tổ chức chính quyền địa phương năm 2025;</w:t>
      </w:r>
    </w:p>
    <w:p w14:paraId="4B25DAD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Quản lý, sử dụng tài sản công ngày 21 tháng 6 năm 2017;</w:t>
      </w:r>
    </w:p>
    <w:p w14:paraId="06488B7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81B6AF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Theo đề nghị của Bộ trưởng Bộ Tài chính;</w:t>
      </w:r>
    </w:p>
    <w:p w14:paraId="3EE43112" w14:textId="77777777" w:rsidR="00595B3B" w:rsidRPr="008C0828" w:rsidRDefault="00595B3B" w:rsidP="00AB0162">
      <w:pPr>
        <w:adjustRightInd w:val="0"/>
        <w:snapToGrid w:val="0"/>
        <w:ind w:firstLine="720"/>
        <w:jc w:val="both"/>
        <w:rPr>
          <w:rFonts w:ascii="Arial" w:hAnsi="Arial" w:cs="Arial"/>
          <w:i/>
          <w:iCs/>
          <w:color w:val="000000" w:themeColor="text1"/>
          <w:sz w:val="20"/>
          <w:szCs w:val="20"/>
        </w:rPr>
      </w:pPr>
      <w:r w:rsidRPr="008C0828">
        <w:rPr>
          <w:rFonts w:ascii="Arial" w:hAnsi="Arial" w:cs="Arial"/>
          <w:i/>
          <w:iCs/>
          <w:color w:val="000000" w:themeColor="text1"/>
          <w:sz w:val="20"/>
          <w:szCs w:val="20"/>
        </w:rPr>
        <w:t>Chính phủ ban hành Nghị định quy định tiêu chuẩn, định mức sử dụng trụ sở làm việc, cơ sở hoạt động sự nghiệp.</w:t>
      </w:r>
    </w:p>
    <w:p w14:paraId="583C21D8" w14:textId="77777777" w:rsidR="00595B3B" w:rsidRPr="008C0828" w:rsidRDefault="00595B3B" w:rsidP="00AB0162">
      <w:pPr>
        <w:adjustRightInd w:val="0"/>
        <w:snapToGrid w:val="0"/>
        <w:rPr>
          <w:rFonts w:ascii="Arial" w:hAnsi="Arial" w:cs="Arial"/>
          <w:color w:val="000000" w:themeColor="text1"/>
          <w:sz w:val="20"/>
          <w:szCs w:val="20"/>
        </w:rPr>
      </w:pPr>
    </w:p>
    <w:p w14:paraId="6A1299CB"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Chương I</w:t>
      </w:r>
    </w:p>
    <w:p w14:paraId="533B4C1D" w14:textId="1894F1EE"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QUY ĐỊNH CHUNG</w:t>
      </w:r>
    </w:p>
    <w:p w14:paraId="7CEFD7C8" w14:textId="77777777" w:rsidR="00595B3B" w:rsidRPr="008C0828" w:rsidRDefault="00595B3B" w:rsidP="00AB0162">
      <w:pPr>
        <w:adjustRightInd w:val="0"/>
        <w:snapToGrid w:val="0"/>
        <w:rPr>
          <w:rFonts w:ascii="Arial" w:hAnsi="Arial" w:cs="Arial"/>
          <w:color w:val="000000" w:themeColor="text1"/>
          <w:sz w:val="20"/>
          <w:szCs w:val="20"/>
          <w:lang w:val="en-GB"/>
        </w:rPr>
      </w:pPr>
    </w:p>
    <w:p w14:paraId="24E3E6CE"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 Phạm vi điều chỉnh</w:t>
      </w:r>
    </w:p>
    <w:p w14:paraId="561A2063" w14:textId="6150A30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0" w:name="bookmark0"/>
      <w:bookmarkEnd w:id="0"/>
      <w:r w:rsidRPr="008C0828">
        <w:rPr>
          <w:rFonts w:ascii="Arial" w:hAnsi="Arial" w:cs="Arial"/>
          <w:color w:val="000000" w:themeColor="text1"/>
          <w:sz w:val="20"/>
          <w:szCs w:val="20"/>
        </w:rPr>
        <w:t>1. Nghị định này quy định về tiêu chuẩn, định mức sử dụng trụ sở làm việc, cơ sở hoạt động sự nghiệp tại các cơ quan, tổ chức, đơn vị quy định tại khoản 1 Điều 2 Nghị định này, gồm:</w:t>
      </w:r>
    </w:p>
    <w:p w14:paraId="43594E9B" w14:textId="74F6922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1" w:name="bookmark1"/>
      <w:bookmarkEnd w:id="1"/>
      <w:r w:rsidRPr="008C0828">
        <w:rPr>
          <w:rFonts w:ascii="Arial" w:hAnsi="Arial" w:cs="Arial"/>
          <w:color w:val="000000" w:themeColor="text1"/>
          <w:sz w:val="20"/>
          <w:szCs w:val="20"/>
        </w:rPr>
        <w:t>a) Diện tích đất thuộc trụ sở làm việc, cơ sở hoạt động sự nghiệp;</w:t>
      </w:r>
    </w:p>
    <w:p w14:paraId="54296593" w14:textId="58E04DF1"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2" w:name="bookmark2"/>
      <w:bookmarkEnd w:id="2"/>
      <w:r w:rsidRPr="008C0828">
        <w:rPr>
          <w:rFonts w:ascii="Arial" w:hAnsi="Arial" w:cs="Arial"/>
          <w:color w:val="000000" w:themeColor="text1"/>
          <w:sz w:val="20"/>
          <w:szCs w:val="20"/>
        </w:rPr>
        <w:t>b) Diện tích làm việc phục vụ công tác các chức danh, diện tích sử dụng chung, diện tích chuyên dùng thuộc trụ sở làm việc tại cơ quan, tổ chức;</w:t>
      </w:r>
    </w:p>
    <w:p w14:paraId="532AAD5D" w14:textId="25D02B0C"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3" w:name="bookmark3"/>
      <w:bookmarkEnd w:id="3"/>
      <w:r w:rsidRPr="008C0828">
        <w:rPr>
          <w:rFonts w:ascii="Arial" w:hAnsi="Arial" w:cs="Arial"/>
          <w:color w:val="000000" w:themeColor="text1"/>
          <w:sz w:val="20"/>
          <w:szCs w:val="20"/>
        </w:rPr>
        <w:t>c) Diện tích làm việc phục vụ công tác các chức danh, diện tích sử dụng chung, diện tích chuyên dùng, diện tích công trình sự nghiệp thuộc cơ sở hoạt động sự nghiệp tại đơn vị sự nghiệp công lập.</w:t>
      </w:r>
    </w:p>
    <w:p w14:paraId="2749B762" w14:textId="5D230198"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4" w:name="bookmark4"/>
      <w:bookmarkEnd w:id="4"/>
      <w:r w:rsidRPr="008C0828">
        <w:rPr>
          <w:rFonts w:ascii="Arial" w:hAnsi="Arial" w:cs="Arial"/>
          <w:color w:val="000000" w:themeColor="text1"/>
          <w:sz w:val="20"/>
          <w:szCs w:val="20"/>
        </w:rPr>
        <w:t>2. Tiêu chuẩn, định mức sử dụng trụ sở làm việc, cơ sở hoạt động sự nghiệp của cơ quan Việt Nam ở nước ngoài thực hiện theo quy định riêng của Chính phủ.</w:t>
      </w:r>
    </w:p>
    <w:p w14:paraId="520CE1F9" w14:textId="6706C38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5" w:name="bookmark5"/>
      <w:bookmarkEnd w:id="5"/>
      <w:r w:rsidRPr="008C0828">
        <w:rPr>
          <w:rFonts w:ascii="Arial" w:hAnsi="Arial" w:cs="Arial"/>
          <w:color w:val="000000" w:themeColor="text1"/>
          <w:sz w:val="20"/>
          <w:szCs w:val="20"/>
        </w:rPr>
        <w:t>3. Tiêu chuẩn, định mức sử dụng các công trình là tài sản đặc biệt, tài sản chuyên dùng, tài sản phục vụ công tác quản lý tại đơn vị lực lượng vũ trang nhân dân thực hiện theo quy định riêng do cơ quan, người có thẩm quyền quy định.</w:t>
      </w:r>
    </w:p>
    <w:p w14:paraId="5345F03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2. Đối tượng áp dụng</w:t>
      </w:r>
    </w:p>
    <w:p w14:paraId="3D1D30E4" w14:textId="5DA1F94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6" w:name="bookmark6"/>
      <w:bookmarkEnd w:id="6"/>
      <w:r w:rsidRPr="008C0828">
        <w:rPr>
          <w:rFonts w:ascii="Arial" w:hAnsi="Arial" w:cs="Arial"/>
          <w:color w:val="000000" w:themeColor="text1"/>
          <w:sz w:val="20"/>
          <w:szCs w:val="20"/>
        </w:rPr>
        <w:t>1. Đối tượng áp dụng của Nghị định này bao gồm:</w:t>
      </w:r>
    </w:p>
    <w:p w14:paraId="23E97C89" w14:textId="00E17935"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7" w:name="bookmark7"/>
      <w:bookmarkEnd w:id="7"/>
      <w:r w:rsidRPr="008C0828">
        <w:rPr>
          <w:rFonts w:ascii="Arial" w:hAnsi="Arial" w:cs="Arial"/>
          <w:color w:val="000000" w:themeColor="text1"/>
          <w:sz w:val="20"/>
          <w:szCs w:val="20"/>
        </w:rPr>
        <w:t>a) Cơ quan nhà nước, cơ quan Đảng cộng sản Việt Nam, Mặt trận Tổ quốc Việt Nam (bao gồm các tổ chức chính trị - xã hội), đơn vị sự nghiệp công lập, ban quản lý dự án sử dụng vốn nhà nước (sau đây gọi là cơ quan, tổ chức, đơn vị);</w:t>
      </w:r>
    </w:p>
    <w:p w14:paraId="4F5B6837" w14:textId="0210E473"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8" w:name="bookmark8"/>
      <w:bookmarkEnd w:id="8"/>
      <w:r w:rsidRPr="008C0828">
        <w:rPr>
          <w:rFonts w:ascii="Arial" w:hAnsi="Arial" w:cs="Arial"/>
          <w:color w:val="000000" w:themeColor="text1"/>
          <w:sz w:val="20"/>
          <w:szCs w:val="20"/>
        </w:rPr>
        <w:t>b) Tổ chức, cá nhân có liên quan đến việc xác định, quyết định, áp dụng tiêu chuẩn, định mức sử dụng trụ sở làm việc, cơ sở hoạt động sự nghiệp.</w:t>
      </w:r>
    </w:p>
    <w:p w14:paraId="00B9D4A9" w14:textId="5FA23DFB"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9" w:name="bookmark9"/>
      <w:bookmarkEnd w:id="9"/>
      <w:r w:rsidRPr="008C0828">
        <w:rPr>
          <w:rFonts w:ascii="Arial" w:hAnsi="Arial" w:cs="Arial"/>
          <w:color w:val="000000" w:themeColor="text1"/>
          <w:sz w:val="20"/>
          <w:szCs w:val="20"/>
        </w:rPr>
        <w:t>2. Các tổ chức tài chính nhà nước ngoài ngân sách được áp dụng theo cơ chế tài chính, cơ chế quản lý tài sản của đơn vị sự nghiệp công lập thì tiêu chuẩn, định mức sử dụng cơ sở hoạt động sự nghiệp thực hiện theo quy định tại Nghị định này.</w:t>
      </w:r>
    </w:p>
    <w:p w14:paraId="7420003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3. Nguyên tắc áp dụng tiêu chuẩn, định mức</w:t>
      </w:r>
    </w:p>
    <w:p w14:paraId="0AB5B10D" w14:textId="40B91F7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0" w:name="bookmark10"/>
      <w:bookmarkEnd w:id="10"/>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 xml:space="preserve">Tiêu chuẩn, định mức sử dụng trụ sở làm việc, cơ sở hoạt động sự nghiệp quy định tại Nghị </w:t>
      </w:r>
      <w:r w:rsidR="00595B3B" w:rsidRPr="008C0828">
        <w:rPr>
          <w:rFonts w:ascii="Arial" w:hAnsi="Arial" w:cs="Arial"/>
          <w:color w:val="000000" w:themeColor="text1"/>
          <w:sz w:val="20"/>
          <w:szCs w:val="20"/>
        </w:rPr>
        <w:lastRenderedPageBreak/>
        <w:t>định này được sử dụng làm một trong các căn cứ để lập kế hoạch và dự toán ngân sách; giao, đầu tư xây dựng, mua sắm, thuê, quản lý, sử dụng và xử lý trụ sở làm việc, cơ sở hoạt động sự nghiệp.</w:t>
      </w:r>
    </w:p>
    <w:p w14:paraId="77560807" w14:textId="6E417B67"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1" w:name="bookmark11"/>
      <w:bookmarkEnd w:id="11"/>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Tiêu chuẩn, định mức sử dụng diện tích làm việc phục vụ công tác các chức danh được xác định theo từng chức danh, chức vụ. Trường hợp một người giữ nhiều chức danh, chức vụ thì được áp dụng tiêu chuẩn cao nhất.</w:t>
      </w:r>
    </w:p>
    <w:p w14:paraId="3A7ED93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Ủy viên Trung ương Đảng dự khuyết đang đảm nhiệm vị trí công tác nào thì được áp dụng tiêu chuẩn, định mức sử dụng diện tích làm việc theo chức vụ đang công tác.</w:t>
      </w:r>
    </w:p>
    <w:p w14:paraId="2F61248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Đối với các chức danh, chức vụ trong các cơ quan, tổ chức, đơn vị không quy định cụ thể tại Phụ lục I, Phụ lục II ban hành kèm theo Nghị định này thì xác định tiêu chuẩn, định mức căn cứ quy định của cơ quan, người có thẩm quyền về chức danh, chức vụ đó tương đương với chức danh, chức vụ nào quy định tại Phụ lục I, Phụ lục II ban hành kèm theo Nghị định này hoặc xác định chức danh, chức vụ tương đương theo mức lương chức vụ hoặc hệ số phụ cấp chức vụ tương đương với các chức danh, chức vụ quy định tại Phụ lục I, Phụ lục II ban hành kèm theo Nghị định này.</w:t>
      </w:r>
    </w:p>
    <w:p w14:paraId="3CC2EBF7" w14:textId="3E0F42F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Diện tích làm việc phục vụ công tác các chức danh, diện tích sử dụng chung, diện tích</w:t>
      </w: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dùng, diện tích công trình sự nghiệp quy định tại Nghị định này là diện tích được tính theo kích thước thông thủy theo quy định của pháp luật, không bao gồm cầu thang, thang máy, thang thoát hiểm, ram dốc, diện tích nhà để xe, diện tích tường bao, tường phân chia các phòng làm việc, diện tích sàn có cột, hộp kỹ thuật và tường bao hộp kỹ thuật (nếu có) bên trong phòng làm việc.</w:t>
      </w:r>
    </w:p>
    <w:p w14:paraId="1CE340EB" w14:textId="7E4F1DF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3" w:name="bookmark13"/>
      <w:bookmarkEnd w:id="13"/>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Phòng làm việc quy định tại Nghị định này là phòng làm việc theo thiết kế của trụ sở làm việc, cơ sở hoạt động sự nghiệp (không phải là phòng theo cơ cấu tổ chức của cơ quan, tổ chức, đơn vị).</w:t>
      </w:r>
    </w:p>
    <w:p w14:paraId="553E3736" w14:textId="34C8F53C"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4" w:name="bookmark14"/>
      <w:bookmarkEnd w:id="14"/>
      <w:r w:rsidRPr="008C0828">
        <w:rPr>
          <w:rFonts w:ascii="Arial" w:hAnsi="Arial" w:cs="Arial"/>
          <w:color w:val="000000" w:themeColor="text1"/>
          <w:sz w:val="20"/>
          <w:szCs w:val="20"/>
        </w:rPr>
        <w:t xml:space="preserve">5. </w:t>
      </w:r>
      <w:r w:rsidR="00595B3B" w:rsidRPr="008C0828">
        <w:rPr>
          <w:rFonts w:ascii="Arial" w:hAnsi="Arial" w:cs="Arial"/>
          <w:color w:val="000000" w:themeColor="text1"/>
          <w:sz w:val="20"/>
          <w:szCs w:val="20"/>
        </w:rPr>
        <w:t>Đối với trụ sở làm việc, cơ sở hoạt động sự nghiệp hiện có đang quản lý, sử dụng hoặc thực hiện giao, điều chuyển hoặc xử lý sau khi thực hiện sáp nhập, hợp nhất, chia tách, giải thể, chấm dứt hoạt động, cơ quan, tổ chức, đơn vị đang quản lý, sử dụng hoặc tiếp nhận trụ sở làm việc, cơ sở hoạt động sự nghiệp được quản lý, sử dụng đối với phần diện tích theo tiêu chuẩn, định mức quy định tại Nghị định này.</w:t>
      </w:r>
    </w:p>
    <w:p w14:paraId="4ED8E32A" w14:textId="77777777" w:rsidR="00595B3B" w:rsidRPr="00FD13D0" w:rsidRDefault="00595B3B" w:rsidP="00AB0162">
      <w:pPr>
        <w:adjustRightInd w:val="0"/>
        <w:snapToGrid w:val="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Đối với phần diện tích lớn hơn so với tiêu chuẩn, định mức (nếu có), cơ quan, người có thẩm quyền giao, điều chuyển quy định tại pháp luật về quản lý, sử dụng tài sản công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quản, bảo vệ đối với phần diện tích này. Trường hợp không có cơ quan, tổ chức, đơn vị phù hợp để giao, điều chuyển thì cơ quan, người có thẩm quyền giao, điều chuyển quy định tại pháp luật về quản lý, sử dụng tài sản công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p w14:paraId="4723D3DB" w14:textId="77777777" w:rsidR="00124F1D" w:rsidRPr="00FD13D0" w:rsidRDefault="00124F1D" w:rsidP="00AB0162">
      <w:pPr>
        <w:adjustRightInd w:val="0"/>
        <w:snapToGrid w:val="0"/>
        <w:rPr>
          <w:rFonts w:ascii="Arial" w:hAnsi="Arial" w:cs="Arial"/>
          <w:color w:val="000000" w:themeColor="text1"/>
          <w:sz w:val="20"/>
          <w:szCs w:val="20"/>
        </w:rPr>
      </w:pPr>
    </w:p>
    <w:p w14:paraId="718FA63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Chương II</w:t>
      </w:r>
    </w:p>
    <w:p w14:paraId="2EE84B4C" w14:textId="15B2C3E5" w:rsidR="00595B3B" w:rsidRPr="008C0828" w:rsidRDefault="00124F1D"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TRỤ SỞ LÀM VIỆC</w:t>
      </w:r>
      <w:r w:rsidRPr="008C0828">
        <w:rPr>
          <w:rFonts w:ascii="Arial" w:hAnsi="Arial" w:cs="Arial"/>
          <w:b/>
          <w:bCs/>
          <w:color w:val="000000" w:themeColor="text1"/>
          <w:sz w:val="20"/>
          <w:szCs w:val="20"/>
        </w:rPr>
        <w:br/>
        <w:t>CỦA CƠ QUAN, TỔ CHỨC</w:t>
      </w:r>
    </w:p>
    <w:p w14:paraId="7D47A15C" w14:textId="77777777" w:rsidR="00124F1D" w:rsidRPr="008C0828" w:rsidRDefault="00124F1D" w:rsidP="00AB0162">
      <w:pPr>
        <w:adjustRightInd w:val="0"/>
        <w:snapToGrid w:val="0"/>
        <w:rPr>
          <w:rFonts w:ascii="Arial" w:hAnsi="Arial" w:cs="Arial"/>
          <w:color w:val="000000" w:themeColor="text1"/>
          <w:sz w:val="20"/>
          <w:szCs w:val="20"/>
        </w:rPr>
      </w:pPr>
    </w:p>
    <w:p w14:paraId="209D68D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4. Tiêu chuẩn, định mức sử dụng trụ sở làm việc của cơ quan, tổ chức</w:t>
      </w:r>
    </w:p>
    <w:p w14:paraId="51CAFB5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nhà làm việc thuộc trụ sở làm việc bao gồm các loại diện tích sau đây:</w:t>
      </w:r>
    </w:p>
    <w:p w14:paraId="7318CACF" w14:textId="4035B06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5" w:name="bookmark15"/>
      <w:bookmarkEnd w:id="15"/>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làm việc phục vụ công tác của các chức danh quy định tại Đi</w:t>
      </w:r>
      <w:r w:rsidR="00AB0162" w:rsidRPr="008C0828">
        <w:rPr>
          <w:rFonts w:ascii="Arial" w:hAnsi="Arial" w:cs="Arial"/>
          <w:color w:val="000000" w:themeColor="text1"/>
          <w:sz w:val="20"/>
          <w:szCs w:val="20"/>
        </w:rPr>
        <w:t>ề</w:t>
      </w:r>
      <w:r w:rsidR="00595B3B" w:rsidRPr="008C0828">
        <w:rPr>
          <w:rFonts w:ascii="Arial" w:hAnsi="Arial" w:cs="Arial"/>
          <w:color w:val="000000" w:themeColor="text1"/>
          <w:sz w:val="20"/>
          <w:szCs w:val="20"/>
        </w:rPr>
        <w:t>u 5 Nghị định này;</w:t>
      </w:r>
    </w:p>
    <w:p w14:paraId="19296CB9" w14:textId="6DB6884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6" w:name="bookmark16"/>
      <w:bookmarkEnd w:id="16"/>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Diện tích sử dụng chung quy định tại Điều 6 Nghị định này;</w:t>
      </w:r>
    </w:p>
    <w:p w14:paraId="653CC30E" w14:textId="7E94B31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7" w:name="bookmark17"/>
      <w:bookmarkEnd w:id="17"/>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Diện tích chuyên dùng quy định tại Điều 7 Nghị định này.</w:t>
      </w:r>
    </w:p>
    <w:p w14:paraId="6713E5B9" w14:textId="4EFEAEF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8" w:name="bookmark18"/>
      <w:bookmarkEnd w:id="18"/>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 xml:space="preserve">Diện tích đất thuộc trụ sở làm việc của cơ quan, tổ chức được xác định căn cứ diện tích nhà làm việc quy định tại khoản </w:t>
      </w:r>
      <w:r w:rsidRPr="008C0828">
        <w:rPr>
          <w:rFonts w:ascii="Arial" w:hAnsi="Arial" w:cs="Arial"/>
          <w:color w:val="000000" w:themeColor="text1"/>
          <w:sz w:val="20"/>
          <w:szCs w:val="20"/>
        </w:rPr>
        <w:t>1</w:t>
      </w:r>
      <w:r w:rsidR="00595B3B" w:rsidRPr="008C0828">
        <w:rPr>
          <w:rFonts w:ascii="Arial" w:hAnsi="Arial" w:cs="Arial"/>
          <w:color w:val="000000" w:themeColor="text1"/>
          <w:sz w:val="20"/>
          <w:szCs w:val="20"/>
        </w:rPr>
        <w:t xml:space="preserve"> Điều này, quy hoạch sử dụng đất, quy hoạch xây dựng theo quy định của pháp luật về đất đai, pháp luật về xây dựng và pháp luật khác có liên quan.</w:t>
      </w:r>
    </w:p>
    <w:p w14:paraId="0160CACB"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5. Diện tích làm việc phục vụ công tác các chức danh</w:t>
      </w:r>
    </w:p>
    <w:p w14:paraId="79508664" w14:textId="4ED64D9F"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9" w:name="bookmark19"/>
      <w:bookmarkEnd w:id="19"/>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Tiêu chuẩn, định mức sử dụng diện tích làm việc phục vụ công tác các chức danh thuộc trung ương và địa phương được quy định tại Phụ lục I, Phụ lục II kèm theo Nghị định này.</w:t>
      </w:r>
    </w:p>
    <w:p w14:paraId="21409075" w14:textId="138EC92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0" w:name="bookmark20"/>
      <w:bookmarkEnd w:id="20"/>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Tổng diện tích làm việc phục vụ công tác các chức danh được xác định trên cơ sở số lượng biên chế hoặc số người làm việc được cấp có thẩm quyền giao, phê duyệt hoặc theo đề án vị trí làm việc được cơ quan, người có thẩm quyền phê duyệt và số lượng người làm việc của đơn vị ký hợp đồng lao động không xác định thời hạn được cơ quan, người có thẩm quyền quyết định theo quy định của pháp luật hoặc định hướng biên chế, số lượng người làm việc xác định trong định hướng phát triển ngành, lĩnh vực đã được cơ quan, người có thẩm quyền phê duyệt (nếu có) tại thời điểm xác định tiêu chuẩn, định mức.</w:t>
      </w:r>
    </w:p>
    <w:p w14:paraId="44F2ADB3" w14:textId="7D647B2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1" w:name="bookmark21"/>
      <w:bookmarkEnd w:id="21"/>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Căn cứ thiết kế và hiện trạng của trụ sở làm việc, Thủ trưởng cơ quan, tổ chức quyết định bố trí diện tích làm việc cụ thể cho các chức danh cho phù hợp với tình hình thực tế, có thể cao hơn hoặc thấp hơn diện tích theo tiêu chuẩn, định mức quy định tại Phụ lục I, Phụ lục II kèm theo Nghị định này nhưng bảo đảm tổng diện tích bố trí cho các chức danh không vượt quá tổng diện tích làm việc được xác định theo quy định tại Phụ lục I, Phụ lục II kèm theo Nghị định này.</w:t>
      </w:r>
    </w:p>
    <w:p w14:paraId="2CFE73A9"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6. Diện tích sử dụng chung</w:t>
      </w:r>
    </w:p>
    <w:p w14:paraId="38A7E6B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sử dụng chung là diện tích sử dụng phục vụ hoạt động chung trong trụ sở làm việc của cơ quan, tổ chức, gồm:</w:t>
      </w:r>
    </w:p>
    <w:p w14:paraId="1C4C0AC0" w14:textId="34BF5E0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2" w:name="bookmark22"/>
      <w:bookmarkEnd w:id="22"/>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Phòng tiếp nhận và trả hồ sơ (bộ phận một cửa); phòng tiếp dân; phòng văn thư, đánh máy, hành chính, quản trị; phòng nhân sao tài liệu;</w:t>
      </w:r>
    </w:p>
    <w:p w14:paraId="2C4527AA" w14:textId="79F6B2B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3" w:name="bookmark23"/>
      <w:bookmarkEnd w:id="23"/>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Phòng tiếp khách (trong nước, quốc tế);</w:t>
      </w:r>
    </w:p>
    <w:p w14:paraId="740F7C45" w14:textId="2F18A0E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4" w:name="bookmark24"/>
      <w:bookmarkEnd w:id="24"/>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Hội trường, phòng họp;</w:t>
      </w:r>
    </w:p>
    <w:p w14:paraId="111F6944" w14:textId="159D494D"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5" w:name="bookmark25"/>
      <w:bookmarkEnd w:id="25"/>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Phòng lưu trữ, phòng hồ sơ, phòng tư liệu và sách;</w:t>
      </w:r>
    </w:p>
    <w:p w14:paraId="7D161577"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 Phòng trung tâm dữ liệu, phòng máy tính, quản trị mạng, phòng đặt thiết bị kỹ thuật, quản lý toà nhà;</w:t>
      </w:r>
    </w:p>
    <w:p w14:paraId="5342662C" w14:textId="71891301"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6" w:name="bookmark26"/>
      <w:bookmarkEnd w:id="26"/>
      <w:r w:rsidRPr="008C0828">
        <w:rPr>
          <w:rFonts w:ascii="Arial" w:hAnsi="Arial" w:cs="Arial"/>
          <w:color w:val="000000" w:themeColor="text1"/>
          <w:sz w:val="20"/>
          <w:szCs w:val="20"/>
        </w:rPr>
        <w:t xml:space="preserve">e) </w:t>
      </w:r>
      <w:r w:rsidR="00595B3B" w:rsidRPr="008C0828">
        <w:rPr>
          <w:rFonts w:ascii="Arial" w:hAnsi="Arial" w:cs="Arial"/>
          <w:color w:val="000000" w:themeColor="text1"/>
          <w:sz w:val="20"/>
          <w:szCs w:val="20"/>
        </w:rPr>
        <w:t>Phòng thường trực, bảo vệ hoặc phòng bảo vệ có yêu cầu trực đêm; phòng truyền thống; phòng y tế; nhà ăn; kho thiết bị, dụng cụ, văn phòng phẩm; sảnh, hành lang; ban công, lô gia; nơi thu gom giấy loại và rác thải; nhà làm việc của đội xe; khu vệ sinh; diện tích phục vụ công tác phòng cháy, chữa cháy;</w:t>
      </w:r>
    </w:p>
    <w:p w14:paraId="35568E3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g) Diện tích sử dụng chung khác không thuộc diện tích quy định tại các điểm a, b, c, d, đ và e khoản này.</w:t>
      </w:r>
    </w:p>
    <w:p w14:paraId="549A7A7E" w14:textId="7985238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2. Diện tích sử dụng chung quy định tại khoản 1 Điều này được xác định tối đa không quá</w:t>
      </w:r>
      <w:r w:rsidR="00124F1D" w:rsidRPr="008C0828">
        <w:rPr>
          <w:rFonts w:ascii="Arial" w:hAnsi="Arial" w:cs="Arial"/>
          <w:color w:val="000000" w:themeColor="text1"/>
          <w:sz w:val="20"/>
          <w:szCs w:val="20"/>
        </w:rPr>
        <w:t xml:space="preserve"> </w:t>
      </w:r>
      <w:r w:rsidRPr="008C0828">
        <w:rPr>
          <w:rFonts w:ascii="Arial" w:hAnsi="Arial" w:cs="Arial"/>
          <w:color w:val="000000" w:themeColor="text1"/>
          <w:sz w:val="20"/>
          <w:szCs w:val="20"/>
        </w:rPr>
        <w:t>85% tổng diện tích làm việc phục vụ công tác các chức danh của cơ quan, tổ chức và được</w:t>
      </w:r>
      <w:r w:rsidR="00124F1D" w:rsidRPr="008C0828">
        <w:rPr>
          <w:rFonts w:ascii="Arial" w:hAnsi="Arial" w:cs="Arial"/>
          <w:color w:val="000000" w:themeColor="text1"/>
          <w:sz w:val="20"/>
          <w:szCs w:val="20"/>
        </w:rPr>
        <w:t xml:space="preserve"> </w:t>
      </w:r>
      <w:r w:rsidRPr="008C0828">
        <w:rPr>
          <w:rFonts w:ascii="Arial" w:hAnsi="Arial" w:cs="Arial"/>
          <w:color w:val="000000" w:themeColor="text1"/>
          <w:sz w:val="20"/>
          <w:szCs w:val="20"/>
        </w:rPr>
        <w:t xml:space="preserve">phân bổ cho từng loại diện tích cụ thể quy định tại các điểm a, b, c, d, đ, e và g khoản </w:t>
      </w:r>
      <w:r w:rsidR="00124F1D" w:rsidRPr="008C0828">
        <w:rPr>
          <w:rFonts w:ascii="Arial" w:hAnsi="Arial" w:cs="Arial"/>
          <w:color w:val="000000" w:themeColor="text1"/>
          <w:sz w:val="20"/>
          <w:szCs w:val="20"/>
        </w:rPr>
        <w:t>1</w:t>
      </w:r>
      <w:r w:rsidRPr="008C0828">
        <w:rPr>
          <w:rFonts w:ascii="Arial" w:hAnsi="Arial" w:cs="Arial"/>
          <w:color w:val="000000" w:themeColor="text1"/>
          <w:sz w:val="20"/>
          <w:szCs w:val="20"/>
        </w:rPr>
        <w:t xml:space="preserve"> Điều này.</w:t>
      </w:r>
    </w:p>
    <w:p w14:paraId="455A1B8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Trường hợp sau khi phân bổ cho từng loại diện tích quy định tại khoản 1 Điều này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p>
    <w:p w14:paraId="2CDFB9A7"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7. Diện tích chuyên dùng</w:t>
      </w:r>
    </w:p>
    <w:p w14:paraId="1DE215C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chuyên dùng là diện tích sử dụng để phục vụ hoạt động đặc thù của cơ quan, tổ chức, gồm:</w:t>
      </w:r>
    </w:p>
    <w:p w14:paraId="056B6D63" w14:textId="394C191F"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7" w:name="bookmark27"/>
      <w:bookmarkEnd w:id="27"/>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sử dụng cho hoạt động kiểm sát, xét xử, hỏi cung trong trụ sở của cơ quan tư pháp; diện tích giao dịch của hệ thống ngân hàng nhà nước, kho bạc nhà nước;</w:t>
      </w:r>
    </w:p>
    <w:p w14:paraId="05501183" w14:textId="2845338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8" w:name="bookmark28"/>
      <w:bookmarkEnd w:id="28"/>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Kho chuyên ngành như: Kho dự trữ quốc gia, kho bảo quản tiền, vàng, bạc, đá quý, kim loại quý, chứng từ có giá, kho bảo quản vật chứng, kho bảo quản vật chứng đặc biệt, kho bảo quản các tài sản khác theo yêu cầu thực hiện nhiệm vụ đặc thù của ngành;</w:t>
      </w:r>
    </w:p>
    <w:p w14:paraId="6BBC77F3" w14:textId="1C83A34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9" w:name="bookmark29"/>
      <w:bookmarkEnd w:id="29"/>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Kho lưu trữ chuyên dụng (nếu có);</w:t>
      </w:r>
    </w:p>
    <w:p w14:paraId="3852894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d) Nhà lưu trú công vụ phục vụ hoạt động nghiệp vụ đặc thù của ngành, diện tích rèn luyện thể chất của cán bộ, công chức, viên chức, người lao động của cơ quan, tổ chức (nếu có);</w:t>
      </w:r>
    </w:p>
    <w:p w14:paraId="516A620E"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 Diện tích chuyên dùng khác không thuộc diện tích quy định tại các điểm a, b, c và d khoản này phục vụ nhiệm vụ đặc thù của cơ quan, tổ chức (nếu có).</w:t>
      </w:r>
    </w:p>
    <w:p w14:paraId="7940A26D" w14:textId="1026190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0" w:name="bookmark30"/>
      <w:bookmarkEnd w:id="30"/>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14:paraId="3FA42CA7" w14:textId="70579467"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1" w:name="bookmark31"/>
      <w:bookmarkEnd w:id="31"/>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Chánh Văn phòng Trung ương Đảng quyết định hoặc phân cấp thẩm quyền quyết định đối với các cơ quan của Đảng ở trung ương;</w:t>
      </w:r>
    </w:p>
    <w:p w14:paraId="1851E2A7" w14:textId="234C293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2" w:name="bookmark32"/>
      <w:bookmarkEnd w:id="32"/>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Ban Thường trực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quyết định hoặc phân cấp thẩm quyền quyết định đối với các cơ quan, tổ chức thuộc phạm vi quản lý;</w:t>
      </w:r>
    </w:p>
    <w:p w14:paraId="1870EE4C" w14:textId="02D9AF41"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3" w:name="bookmark33"/>
      <w:bookmarkEnd w:id="33"/>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Bộ trưởng, Thủ trưởng cơ quan ngang bộ, cơ quan thuộc Chính phủ, cơ quan khác ở trung ương (sau đây gọi là Bộ trưởng, Thủ trưởng cơ quan trung ương) quyết định hoặc phân cấp thẩm quyền quyết định đối với các cơ quan, tổ chức thuộc phạm vi quản lý;</w:t>
      </w:r>
    </w:p>
    <w:p w14:paraId="3F7293FB" w14:textId="4B9D7A49"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4" w:name="bookmark34"/>
      <w:bookmarkEnd w:id="34"/>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Ban Thường vụ tỉnh uỷ, thành uỷ quyết định hoặc phân cấp thẩm quyền quyết định đối với cơ quan của Đảng ở địa phương;</w:t>
      </w:r>
    </w:p>
    <w:p w14:paraId="29A3CAC5" w14:textId="57ECA9EE"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đ)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các tỉnh, thành phố trực thuộc trung ương (sau đây gọi là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quyết định hoặc phân cấp thẩm quyền quyết định theo Luật Tổ chức chính quyền địa phương, Luật khác có liên quan đối với các cơ quan, tổ chức của địa phương; trừ trường hợp quy định tại điểm d khoản này.</w:t>
      </w:r>
    </w:p>
    <w:p w14:paraId="0BA69F17" w14:textId="79F6D59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5" w:name="bookmark35"/>
      <w:bookmarkEnd w:id="35"/>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p w14:paraId="1231FFB0" w14:textId="0BF0D217" w:rsidR="00595B3B" w:rsidRPr="008C0828" w:rsidRDefault="00124F1D" w:rsidP="00AB0162">
      <w:pPr>
        <w:adjustRightInd w:val="0"/>
        <w:snapToGrid w:val="0"/>
        <w:ind w:firstLine="720"/>
        <w:jc w:val="both"/>
        <w:rPr>
          <w:rFonts w:ascii="Arial" w:hAnsi="Arial" w:cs="Arial"/>
          <w:color w:val="000000" w:themeColor="text1"/>
          <w:sz w:val="20"/>
          <w:szCs w:val="20"/>
        </w:rPr>
      </w:pPr>
      <w:bookmarkStart w:id="36" w:name="bookmark36"/>
      <w:bookmarkEnd w:id="36"/>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chuyên dùng quy định tại khoản 2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67D59B03" w14:textId="77777777" w:rsidR="00124F1D" w:rsidRPr="008C0828" w:rsidRDefault="00124F1D" w:rsidP="00AB0162">
      <w:pPr>
        <w:adjustRightInd w:val="0"/>
        <w:snapToGrid w:val="0"/>
        <w:rPr>
          <w:rFonts w:ascii="Arial" w:hAnsi="Arial" w:cs="Arial"/>
          <w:color w:val="000000" w:themeColor="text1"/>
          <w:sz w:val="20"/>
          <w:szCs w:val="20"/>
        </w:rPr>
      </w:pPr>
    </w:p>
    <w:p w14:paraId="232ABD9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Chương III</w:t>
      </w:r>
    </w:p>
    <w:p w14:paraId="39B8C5C4" w14:textId="33C4C18C" w:rsidR="00595B3B" w:rsidRPr="008C0828" w:rsidRDefault="00124F1D"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CƠ SỞ HOẠT ĐỘNG SỰ NGHIỆP</w:t>
      </w:r>
      <w:r w:rsidRPr="008C0828">
        <w:rPr>
          <w:rFonts w:ascii="Arial" w:hAnsi="Arial" w:cs="Arial"/>
          <w:b/>
          <w:bCs/>
          <w:color w:val="000000" w:themeColor="text1"/>
          <w:sz w:val="20"/>
          <w:szCs w:val="20"/>
        </w:rPr>
        <w:br/>
        <w:t>CỦA ĐƠN VỊ SỰ NGHIỆP CÔNG LẬP</w:t>
      </w:r>
    </w:p>
    <w:p w14:paraId="485E8087" w14:textId="77777777" w:rsidR="00124F1D" w:rsidRPr="008C0828" w:rsidRDefault="00124F1D" w:rsidP="00AB0162">
      <w:pPr>
        <w:adjustRightInd w:val="0"/>
        <w:snapToGrid w:val="0"/>
        <w:rPr>
          <w:rFonts w:ascii="Arial" w:hAnsi="Arial" w:cs="Arial"/>
          <w:color w:val="000000" w:themeColor="text1"/>
          <w:sz w:val="20"/>
          <w:szCs w:val="20"/>
        </w:rPr>
      </w:pPr>
    </w:p>
    <w:p w14:paraId="0087BD9C"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8. Tiêu chuẩn, định mức sử dụng cơ sở hoạt động sự nghiệp của đơn vị</w:t>
      </w:r>
    </w:p>
    <w:p w14:paraId="7281AF22" w14:textId="3819BF3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7" w:name="bookmark37"/>
      <w:bookmarkEnd w:id="37"/>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Diện tích nhà làm việc, công trình sự nghiệp thuộc cơ sở hoạt động sự nghiệp bao gồm các loại diện tích sau đây:</w:t>
      </w:r>
    </w:p>
    <w:p w14:paraId="7428A4A9" w14:textId="308F65D9"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8" w:name="bookmark38"/>
      <w:bookmarkEnd w:id="38"/>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làm việc phục vụ công tác các chức danh quy định tại Điều 9 Nghị định này;</w:t>
      </w:r>
    </w:p>
    <w:p w14:paraId="5641CFC5" w14:textId="44977203"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9" w:name="bookmark39"/>
      <w:bookmarkEnd w:id="39"/>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Diện tích sử dụng chung quy định tại Điều 10, diện tích chuyên dùng quy định tại Điều </w:t>
      </w:r>
      <w:r w:rsidRPr="008C0828">
        <w:rPr>
          <w:rFonts w:ascii="Arial" w:hAnsi="Arial" w:cs="Arial"/>
          <w:color w:val="000000" w:themeColor="text1"/>
          <w:sz w:val="20"/>
          <w:szCs w:val="20"/>
        </w:rPr>
        <w:t>11</w:t>
      </w:r>
      <w:r w:rsidR="00595B3B" w:rsidRPr="008C0828">
        <w:rPr>
          <w:rFonts w:ascii="Arial" w:hAnsi="Arial" w:cs="Arial"/>
          <w:color w:val="000000" w:themeColor="text1"/>
          <w:sz w:val="20"/>
          <w:szCs w:val="20"/>
        </w:rPr>
        <w:t xml:space="preserve"> Nghị định này;</w:t>
      </w:r>
    </w:p>
    <w:p w14:paraId="35CC9375" w14:textId="469D35A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0" w:name="bookmark40"/>
      <w:bookmarkEnd w:id="40"/>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Diện tích công trình sự nghiệp quy định tại Điều 12 Nghị định này.</w:t>
      </w:r>
    </w:p>
    <w:p w14:paraId="0441AFA6" w14:textId="048ADDE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1" w:name="bookmark41"/>
      <w:bookmarkEnd w:id="41"/>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Diện tích đất thuộc cơ sở hoạt động sự nghiệp của đơn vị được xác định căn cứ diện tích nhà làm việc, công trình sự nghiệp quy định tại khoản 1 Điều này, quy hoạch sử dụng đất, quy hoạch xây dựng theo quy định của pháp luật về đất đai, pháp luật về xây dựng và pháp luật khác có liên quan.</w:t>
      </w:r>
    </w:p>
    <w:p w14:paraId="66FC12F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9. Diện tích làm việc phục vụ công tác các chức danh</w:t>
      </w:r>
    </w:p>
    <w:p w14:paraId="6F71BA78" w14:textId="7F7D7AF3"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2" w:name="bookmark42"/>
      <w:bookmarkEnd w:id="42"/>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Tiêu chuẩn, định mức diện tích làm việc phục vụ công tác các chức danh thực hiện theo quy định tại Điều 5 Nghị định này.</w:t>
      </w:r>
    </w:p>
    <w:p w14:paraId="790B74C4" w14:textId="7EFD9EB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3" w:name="bookmark43"/>
      <w:bookmarkEnd w:id="43"/>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Đối với các chức danh làm việc trong một số lĩnh vực như giảng viên, giáo viên, bác sỹ, điều dưỡng, kỹ thuật viên, hộ lý, nhà khoa học và một số chức danh khác của đơn vị thì diện tích làm việc của các chức danh này được bố trí phù hợp với tính chất công việc trong diện tích công trình sự nghiệp quy định tại Điều 12 Nghị định này hoặc diện tích làm việc phục vụ công tác các chức danh quy định tại khoản 1 Điều này.</w:t>
      </w:r>
    </w:p>
    <w:p w14:paraId="478B880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10. Diện tích sử dụng chung</w:t>
      </w:r>
    </w:p>
    <w:p w14:paraId="4EEF368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Diện tích sử dụng chung thực hiện theo quy định tại Điều 6 Nghị định này.</w:t>
      </w:r>
    </w:p>
    <w:p w14:paraId="4A0B069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11. Diện tích chuyên dùng</w:t>
      </w:r>
    </w:p>
    <w:p w14:paraId="2409E318" w14:textId="21137DE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4" w:name="bookmark44"/>
      <w:bookmarkEnd w:id="44"/>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Diện tích chuyên dùng thực hiện theo quy định tại khoản 1 Điều 7 Nghị định này.</w:t>
      </w:r>
    </w:p>
    <w:p w14:paraId="2A59E7B0" w14:textId="540D984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5" w:name="bookmark45"/>
      <w:bookmarkEnd w:id="45"/>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 xml:space="preserve">Căn cứ chức năng, nhiệm vụ, văn bản thể hiện nhiệm vụ đặc thù của đơn vị, nhu cầu sử </w:t>
      </w:r>
      <w:r w:rsidR="00595B3B" w:rsidRPr="008C0828">
        <w:rPr>
          <w:rFonts w:ascii="Arial" w:hAnsi="Arial" w:cs="Arial"/>
          <w:color w:val="000000" w:themeColor="text1"/>
          <w:sz w:val="20"/>
          <w:szCs w:val="20"/>
        </w:rPr>
        <w:lastRenderedPageBreak/>
        <w:t>dụng thực tế và quy định khác có liên quan, cơ quan, người có thẩm quyền quyết định tiêu chuẩn, định mức diện tích chuyên dùng, cụ thể như sau:</w:t>
      </w:r>
    </w:p>
    <w:p w14:paraId="561A07DA" w14:textId="4D687BF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6" w:name="bookmark46"/>
      <w:bookmarkEnd w:id="46"/>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Chánh Văn phòng Trung ương Đảng quyết định hoặc phân cấp thẩm quyền quyết định đối với đơn vị sự nghiệp của Đảng ở trung ương; trừ trường hợp quy định tại điểm e khoản này;</w:t>
      </w:r>
    </w:p>
    <w:p w14:paraId="3FAC29E3" w14:textId="3078BB1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7" w:name="bookmark47"/>
      <w:bookmarkEnd w:id="47"/>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Ban Thường trực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quyết định hoặc phân cấp thẩm quyền quyết định đối với đơn vị thuộc phạm vi quản lý; trừ trường hợp quy định tại điểm e khoản này;</w:t>
      </w:r>
    </w:p>
    <w:p w14:paraId="4ACFAE53" w14:textId="74FB7A4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8" w:name="bookmark48"/>
      <w:bookmarkEnd w:id="48"/>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Bộ trưởng, Thủ trưởng cơ quan trung ương quyết định hoặc phân cấp thẩm quyền quyết định đối với đơn vị thuộc phạm vi quản lý; trừ trường hợp quy định tại điểm e khoản này;</w:t>
      </w:r>
    </w:p>
    <w:p w14:paraId="1C5F7D39" w14:textId="056D2CA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49" w:name="bookmark49"/>
      <w:bookmarkEnd w:id="49"/>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Ban Thường vụ tỉnh uỷ, thành uỷ quyết định hoặc phân cấp thẩm quyền quyết định đối với đơn vị sự nghiệp của Đảng ở địa phương; trừ trường hợp quy định tại điểm e khoản này;</w:t>
      </w:r>
    </w:p>
    <w:p w14:paraId="1653A9BC" w14:textId="1FFF939C"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đ)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quyết định hoặc phân cấp thẩm quyền quyết định theo Luật Tổ chức chính quyền địa phương, Luật khác có liên quan đối với đơn vị của địa phương; trừ trường hợp quy định tại điểm d, điểm e khoản này;</w:t>
      </w:r>
    </w:p>
    <w:p w14:paraId="22A3435A" w14:textId="2E21EE58"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0" w:name="bookmark50"/>
      <w:bookmarkEnd w:id="50"/>
      <w:r w:rsidRPr="008C0828">
        <w:rPr>
          <w:rFonts w:ascii="Arial" w:hAnsi="Arial" w:cs="Arial"/>
          <w:color w:val="000000" w:themeColor="text1"/>
          <w:sz w:val="20"/>
          <w:szCs w:val="20"/>
        </w:rPr>
        <w:t xml:space="preserve">e) </w:t>
      </w:r>
      <w:r w:rsidR="00595B3B" w:rsidRPr="008C0828">
        <w:rPr>
          <w:rFonts w:ascii="Arial" w:hAnsi="Arial" w:cs="Arial"/>
          <w:color w:val="000000" w:themeColor="text1"/>
          <w:sz w:val="20"/>
          <w:szCs w:val="20"/>
        </w:rPr>
        <w:t>Hội đồng quản lý, người đứng đầu đơn vị sự nghiệp công lập tự đảm bảo chi thường xuyên và chi đầu tư (trong trường hợp đơn vị sự nghiệp không có Hội đồng quản lý) quyết định đối với đơn vị mình.</w:t>
      </w:r>
    </w:p>
    <w:p w14:paraId="6C5B940E" w14:textId="4F4F67E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1" w:name="bookmark51"/>
      <w:bookmarkEnd w:id="51"/>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p w14:paraId="104BDE6A" w14:textId="52B8400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2" w:name="bookmark52"/>
      <w:bookmarkEnd w:id="52"/>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chuyên dùng quy định tại khoản 2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49A04FC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12. Diện tích công trình sự nghiệp</w:t>
      </w:r>
    </w:p>
    <w:p w14:paraId="2620E21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công trình sự nghiệp gồm:</w:t>
      </w:r>
    </w:p>
    <w:p w14:paraId="568DE4DE" w14:textId="13AEAF81"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3" w:name="bookmark53"/>
      <w:bookmarkEnd w:id="53"/>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công trình sự nghiệp trong lĩnh vực y tế, giáo dục và đào tạo;</w:t>
      </w:r>
    </w:p>
    <w:p w14:paraId="1C91FD0E" w14:textId="19261B23"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4" w:name="bookmark54"/>
      <w:bookmarkEnd w:id="54"/>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 và các lĩnh vực khác.</w:t>
      </w:r>
    </w:p>
    <w:p w14:paraId="27A5C4D9" w14:textId="4B2AE01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5" w:name="bookmark55"/>
      <w:bookmarkEnd w:id="55"/>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Diện tích công trình sự nghiệp quy định tại điểm a khoản 1 Điều này</w:t>
      </w:r>
    </w:p>
    <w:p w14:paraId="1D7D8C9B" w14:textId="63A62E89"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6" w:name="bookmark56"/>
      <w:bookmarkEnd w:id="56"/>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Trong thời hạn 12 tháng, kể từ ngày Nghị định này có hiệu lực thi hành, Bộ trưởng Bộ Y tế, Bộ trưởng Bộ Giáo dục và Đào tạo quy định chi tiết hướng dẫn về tiêu chuẩn, định mức diện tích công trình sự nghiệp trong lĩnh vực y tế, giáo dục và đào tạo thuộc lĩnh vực quản lý nhà nước của Bộ Y tế, Bộ Giáo dục và Đào tạo;</w:t>
      </w:r>
    </w:p>
    <w:p w14:paraId="7487CCA1" w14:textId="37C9A434"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7" w:name="bookmark57"/>
      <w:bookmarkEnd w:id="57"/>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Căn cứ quy định chi tiết hướng dẫn của Bộ trưởng Bộ Y tế, Bộ trưởng Bộ Giáo dục và Đào tạo tại điểm a khoản này, cơ quan, người có thẩm quyền quy định tại khoản 2 Điều 11 Nghị định này quyết định tiêu chuẩn, định mức diện tích công trình sự nghiệp trong lĩnh vực y tế, giáo dục và đào tạo của các đơn vị quy định tại khoản 2 Điều 11 Nghị định này;</w:t>
      </w:r>
    </w:p>
    <w:p w14:paraId="18C230C8" w14:textId="51AA51B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8" w:name="bookmark58"/>
      <w:bookmarkEnd w:id="58"/>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Trường hợp Bộ trưởng Bộ Y tế, Bộ trưởng Bộ Giáo dục và Đào tạo chưa quy định chi tiết hướng dẫn hoặc chưa quy định chi tiết hướng dẫn đầy đủ theo quy định tại điểm a khoản này, cơ quan, người có thẩm quyền quy định tại khoản 2 Điều 11 Nghị định này quyết định tiêu chuẩn, định mức diện tích công trình sự nghiệp trong lĩnh vực y tế, giáo dục và đào tạo của các đơn vị quy định tại khoản 2 Điều 11 Nghị định này. Sau khi Bộ trưởng Bộ Y tế, Bộ trưởng Bộ Giáo dục và Đào tạo quy định chi tiết hướng dẫn tại điểm a khoản này, cơ quan, người có thẩm quyền quy định tại khoản 2 Điều 11 Nghị định này rà soát để ban hành mới hoặc thay thế hoặc sửa đổi, bổ sung quyết định tiêu chuẩn, định mức diện tích công trình sự nghiệp trong lĩnh vực y tế, giáo dục và đào tạo của các đơn vị quy định tại khoản 2 Điều 11 Nghị định này cho phù hợp với quy định chi tiết hướng dẫn của Bộ trưởng Bộ Y tế, Bộ trưởng Bộ Giáo dục và Đào tạo.</w:t>
      </w:r>
    </w:p>
    <w:p w14:paraId="6CD61888" w14:textId="2945DC9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9" w:name="bookmark59"/>
      <w:bookmarkEnd w:id="59"/>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Diện tích công trình sự nghiệp khác quy định tại điểm b khoản 1 Điều này</w:t>
      </w:r>
    </w:p>
    <w:p w14:paraId="6C781C3B"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Căn cứ quy định về chức năng, nhiệm vụ, hoạt động đặc thù của đơn vị và các quy định khác </w:t>
      </w:r>
      <w:r w:rsidRPr="008C0828">
        <w:rPr>
          <w:rFonts w:ascii="Arial" w:hAnsi="Arial" w:cs="Arial"/>
          <w:color w:val="000000" w:themeColor="text1"/>
          <w:sz w:val="20"/>
          <w:szCs w:val="20"/>
        </w:rPr>
        <w:lastRenderedPageBreak/>
        <w:t>có liên quan, cơ quan, người có thẩm quyền quy định tại khoản 2 Điều 11 Nghị định này quyết định tiêu chuẩn, định mức diện tích công trình sự nghiệp khác của các đơn vị quy định tại khoản 2 Điều 11 Nghị định này.</w:t>
      </w:r>
    </w:p>
    <w:p w14:paraId="56DFE2F7" w14:textId="4AFF826C" w:rsidR="00595B3B" w:rsidRPr="008C0828" w:rsidRDefault="00372787" w:rsidP="00AB0162">
      <w:pPr>
        <w:adjustRightInd w:val="0"/>
        <w:snapToGrid w:val="0"/>
        <w:ind w:firstLine="720"/>
        <w:jc w:val="both"/>
        <w:rPr>
          <w:rFonts w:ascii="Arial" w:hAnsi="Arial" w:cs="Arial"/>
          <w:color w:val="000000" w:themeColor="text1"/>
          <w:sz w:val="20"/>
          <w:szCs w:val="20"/>
        </w:rPr>
      </w:pPr>
      <w:bookmarkStart w:id="60" w:name="bookmark60"/>
      <w:bookmarkEnd w:id="60"/>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công trình sự nghiệp quy định tại các khoản 2, khoản 3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2B5075AB" w14:textId="77777777" w:rsidR="00372787" w:rsidRPr="008C0828" w:rsidRDefault="00372787" w:rsidP="00AB0162">
      <w:pPr>
        <w:adjustRightInd w:val="0"/>
        <w:snapToGrid w:val="0"/>
        <w:rPr>
          <w:rFonts w:ascii="Arial" w:hAnsi="Arial" w:cs="Arial"/>
          <w:color w:val="000000" w:themeColor="text1"/>
          <w:sz w:val="20"/>
          <w:szCs w:val="20"/>
        </w:rPr>
      </w:pPr>
    </w:p>
    <w:p w14:paraId="6024B2C1" w14:textId="77777777" w:rsidR="00372787" w:rsidRPr="00FD13D0"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Chương IV</w:t>
      </w:r>
    </w:p>
    <w:p w14:paraId="66130E58" w14:textId="7AEA8B00" w:rsidR="00595B3B" w:rsidRPr="00FD13D0"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ĐIỀU KHOẢN THI HÀNH</w:t>
      </w:r>
    </w:p>
    <w:p w14:paraId="38E4EA0F" w14:textId="77777777" w:rsidR="00372787" w:rsidRPr="00FD13D0" w:rsidRDefault="00372787" w:rsidP="00AB0162">
      <w:pPr>
        <w:adjustRightInd w:val="0"/>
        <w:snapToGrid w:val="0"/>
        <w:rPr>
          <w:rFonts w:ascii="Arial" w:hAnsi="Arial" w:cs="Arial"/>
          <w:color w:val="000000" w:themeColor="text1"/>
          <w:sz w:val="20"/>
          <w:szCs w:val="20"/>
        </w:rPr>
      </w:pPr>
    </w:p>
    <w:p w14:paraId="041A466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13. Điều khoản thi hành</w:t>
      </w:r>
    </w:p>
    <w:p w14:paraId="7F0B7744" w14:textId="79F5735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1" w:name="bookmark61"/>
      <w:bookmarkEnd w:id="61"/>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Nghị định này có hiệu lực thi hành từ ngày 01 tháng 7 năm 2025.</w:t>
      </w:r>
    </w:p>
    <w:p w14:paraId="75EB5F17" w14:textId="7FD7BACD"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Văn phòng Trung ương Đảng,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 bộ, cơ quan trung ương,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các cơ quan, tổ chức, đơn vị thuộc trung ương, địa phương được sử dụng quy định tiêu chuẩn, định mức tại Nghị định này để xây dựng phương án, quyết định, tổ chức việc bố trí, sắp xếp, xử lý trụ sở làm việc, cơ sở hoạt động sự nghiệp khi thực hiện sắp xếp tinh gọn bộ máy của hệ thống chính trị và xây dựng, thực hiện mô hình chính quyền địa phương hai (02) cấp kể từ ngày Nghị định này được ký ban hành.</w:t>
      </w:r>
    </w:p>
    <w:p w14:paraId="61ABEB11" w14:textId="176009C8"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2" w:name="bookmark62"/>
      <w:bookmarkEnd w:id="62"/>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Nghị định số 152/2017/NĐ-CP ngày 27 tháng 12 năm 2017 của Chính phủ quy định tiêu chuẩn, định mức sử dụng trụ sở làm việc, cơ sở hoạt động sự nghiệp hết hiệu lực kể từ ngày Nghị định này có hiệu lực thi hành.</w:t>
      </w:r>
    </w:p>
    <w:p w14:paraId="1B65D2CE" w14:textId="29B0FA9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3" w:name="bookmark63"/>
      <w:bookmarkEnd w:id="63"/>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các văn bản quy phạm pháp luật trích dẫn tại Nghị định này được sửa đổi, bổ sung hoặc thay thế bằng văn bản quy phạm pháp luật khác thì thực hiện theo quy định tại văn bản sửa đổi, bổ sung hoặc thay thế đó.</w:t>
      </w:r>
    </w:p>
    <w:p w14:paraId="2C54E45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14. Xử lý chuyển tiếp</w:t>
      </w:r>
    </w:p>
    <w:p w14:paraId="4FC84CE5" w14:textId="7813297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4" w:name="bookmark64"/>
      <w:bookmarkEnd w:id="64"/>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Đối với nhiệm vụ, dự án đầu tư xây dựng mới, cải tạo, nâng cấp trụ sở làm việc, cơ sở hoạt động sự nghiệp đã được cơ quan, người có thẩm quyền phê duyệt theo quy định trước ngày Nghị định này có hiệu lực thi hành thì cơ quan, người có thẩm quyền quyết định phê duyệt nhiệm vụ, dự án đầu tư xây dựng mới, cải tạo, nâng cấp trụ sở làm việc, cơ sở hoạt động sự nghiệp quyết định điều chỉnh hoặc không điều chỉnh theo tiêu chuẩn, định mức quy định tại Nghị định này.</w:t>
      </w:r>
    </w:p>
    <w:p w14:paraId="523AD9FD" w14:textId="4B00C7FC"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5" w:name="bookmark65"/>
      <w:bookmarkEnd w:id="65"/>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Đối với tiêu chuẩn, định mức sử dụng diện tích chuyên dùng, diện tích công trình sự</w:t>
      </w: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nghiệp đã được cơ quan, người có thẩm quyền ban hành trước ngày Nghị định này có hiệu lực thi hành mà còn phù hợp thì tiếp tục thực hiện theo văn bản đã ban hành cho đến khi cơ quan, người có thẩm quyền quy định tại các Điều 7, 11 và 12 Nghị định này quyết định tiêu chuẩn, định mức diện tích chuyên dùng, diện tích công trình sự nghiệp mới. Trong trường hợp này, cơ quan, người có thẩm quyền có văn bản thông báo đến cơ quan, tổ chức, đơn vị thuộc phạm vi quản lý để thực hiện.</w:t>
      </w:r>
    </w:p>
    <w:p w14:paraId="36C98EDC" w14:textId="6E5D825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6" w:name="bookmark66"/>
      <w:bookmarkEnd w:id="66"/>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Đối với trụ sở làm việc, cơ sở hoạt động sự nghiệp hiện có đang quản lý, sử dụng hoặc đang thực hiện giao, điều chuyển hoặc xử lý sau khi thực hiện sáp nhập, hợp nhất, chia tách, giải thể, chấm dứt hoạt động trước ngày Nghị định này có hiệu lực thi hành thì thực hiện theo quy định tại khoản 5 Điều 3 Nghị định này và pháp luật về quản lý, sử dụng tài sản công.</w:t>
      </w:r>
    </w:p>
    <w:p w14:paraId="6D7A607E" w14:textId="151EED9D"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7" w:name="bookmark67"/>
      <w:bookmarkEnd w:id="67"/>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Đối với các chức danh, chức vụ lãnh đạo, quản lý trong các cơ quan, tổ chức, đơn vị được quy định tại Phụ lục I, Phụ lục II ban hành kèm theo Nghị định này mà đang được hưởng mức lương chức vụ hoặc hệ số phụ cấp chức vụ cao hơn nhóm chức danh, chức vụ quy định tại Phụ lục I, Phụ lục II ban hành kèm theo Nghị định này thì xác định tiêu chuẩn, định mức theo chức danh, chức vụ được hưởng mức lương chức vụ hoặc hệ số phụ cấp chức vụ cao hơn.</w:t>
      </w:r>
    </w:p>
    <w:p w14:paraId="0AD4A20F" w14:textId="622B3F3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8" w:name="bookmark68"/>
      <w:bookmarkEnd w:id="68"/>
      <w:r w:rsidRPr="008C0828">
        <w:rPr>
          <w:rFonts w:ascii="Arial" w:hAnsi="Arial" w:cs="Arial"/>
          <w:color w:val="000000" w:themeColor="text1"/>
          <w:sz w:val="20"/>
          <w:szCs w:val="20"/>
        </w:rPr>
        <w:t xml:space="preserve">5. </w:t>
      </w:r>
      <w:r w:rsidR="00595B3B" w:rsidRPr="008C0828">
        <w:rPr>
          <w:rFonts w:ascii="Arial" w:hAnsi="Arial" w:cs="Arial"/>
          <w:color w:val="000000" w:themeColor="text1"/>
          <w:sz w:val="20"/>
          <w:szCs w:val="20"/>
        </w:rPr>
        <w:t xml:space="preserve">Đối với người hoạt động không chuyên trách ở cấp xã trong thời gian được kéo dài theo kết luận của cấp có thẩm quyền, quy định của cơ quan, người có thẩm quyền thì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 có trách nhiệm bố trí diện tích làm việc phù hợp cho các chức danh này.</w:t>
      </w:r>
    </w:p>
    <w:p w14:paraId="1A59DCA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15. Trách nhiệm thi hành</w:t>
      </w:r>
    </w:p>
    <w:p w14:paraId="0473169D" w14:textId="62F6233E"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9" w:name="bookmark69"/>
      <w:bookmarkEnd w:id="69"/>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Bộ trưởng Bộ Y tế, Bộ trưởng Bộ Giáo dục và Đào tạo có trách nhiệm quy định chi tiết hướng dẫn về tiêu chuẩn, định mức sử dụng diện tích công trình sự nghiệp trong lĩnh vực y tế, giáo dục và đào tạo theo quy định tại điểm a khoản 2 Điều 12 Nghị định này.</w:t>
      </w:r>
    </w:p>
    <w:p w14:paraId="4E3748FF" w14:textId="10F912AC"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0" w:name="bookmark70"/>
      <w:bookmarkEnd w:id="70"/>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Trong quá trình thực hiện sắp xếp tinh gọn bộ máy của hệ thống chính trị và xây dựng, thực hiện mô hình chính quyền địa phương hai (02) cấp, cơ quan, người có thẩm quyền quyết định giao, điều chuyển quy định tại pháp luật về quản lý, sử dụng tài sản công quyết định giao, điều chuyển một hoặc nhiều trụ sở làm việc, cơ sở hoạt động sự nghiệp cho một hoặc nhiều cơ quan, tổ chức, đơn vị quản lý, sử dụng.</w:t>
      </w:r>
    </w:p>
    <w:p w14:paraId="39F82ED0" w14:textId="21E2B1E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1" w:name="bookmark71"/>
      <w:bookmarkEnd w:id="71"/>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 xml:space="preserve">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tỉnh, các cơ quan, tổ chức, đơn vị thuộc trung ương, địa phương có trách nhiệm:</w:t>
      </w:r>
    </w:p>
    <w:p w14:paraId="0128A2AE" w14:textId="6FCC05A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2" w:name="bookmark72"/>
      <w:bookmarkEnd w:id="72"/>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Tổ chức kiểm tra, giám sát việc tuân thủ tiêu chuẩn, định mức sử dụng trụ sở làm việc, cơ sở hoạt động sự nghiệp và việc thực hiện quy định tại Nghị định này; xử lý theo thẩm quyền hoặc báo cáo cơ quan, người có thẩm quyền xử lý vi phạm trong quản lý, sử dụng trụ sở làm việc, cơ sở hoạt động sự nghiệp theo quy định của pháp luật;</w:t>
      </w:r>
    </w:p>
    <w:p w14:paraId="0EF59AC5" w14:textId="33428639"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3" w:name="bookmark73"/>
      <w:bookmarkEnd w:id="73"/>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Thực hiện các trách nhiệm khác theo quy định tại Nghị định này và pháp luật khác có liên quan.</w:t>
      </w:r>
    </w:p>
    <w:p w14:paraId="7F3F3BD3" w14:textId="1E0A042B"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4" w:name="bookmark74"/>
      <w:bookmarkEnd w:id="74"/>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Thanh tra Chính phủ và các cơ quan có chức năng thanh tra có trách nhiệm:</w:t>
      </w:r>
    </w:p>
    <w:p w14:paraId="37E7053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a) Tổ chức thanh tra việc tuân thủ tiêu chuẩn, định mức sử dụng trụ sở làm việc, cơ sở hoạt động sự nghiệp và việc thực hiện quy định tại Nghị định này;</w:t>
      </w:r>
    </w:p>
    <w:p w14:paraId="34BF5B3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b) Thực hiện các nhiệm vụ quy định tại khoản 3 Điều này.</w:t>
      </w:r>
    </w:p>
    <w:p w14:paraId="2C1AC663" w14:textId="63759F0F" w:rsidR="00595B3B" w:rsidRPr="008C0828" w:rsidRDefault="00595B3B" w:rsidP="00AB0162">
      <w:pPr>
        <w:adjustRightInd w:val="0"/>
        <w:snapToGrid w:val="0"/>
        <w:ind w:firstLine="720"/>
        <w:jc w:val="both"/>
        <w:rPr>
          <w:rFonts w:ascii="Arial" w:hAnsi="Arial" w:cs="Arial"/>
          <w:color w:val="000000" w:themeColor="text1"/>
          <w:sz w:val="20"/>
          <w:szCs w:val="20"/>
        </w:rPr>
        <w:sectPr w:rsidR="00595B3B" w:rsidRPr="008C0828" w:rsidSect="00595B3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0" w:footer="3" w:gutter="0"/>
          <w:cols w:space="720"/>
          <w:noEndnote/>
          <w:docGrid w:linePitch="360"/>
        </w:sectPr>
      </w:pPr>
      <w:r w:rsidRPr="008C0828">
        <w:rPr>
          <w:rFonts w:ascii="Arial" w:hAnsi="Arial" w:cs="Arial"/>
          <w:color w:val="000000" w:themeColor="text1"/>
          <w:sz w:val="20"/>
          <w:szCs w:val="20"/>
        </w:rPr>
        <w:t xml:space="preserve">5. Bộ trưởng, Thủ trưởng cơ quan ngang Bộ, cơ quan thuộc Chính phủ, cơ quan khác ở trung ương, Chủ tịch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các tỉnh, thành phố trực thuộc trung ương, Thủ trưởng cơ quan, tổ chức, đơn vị, cá nhân có liên quan chịu trách nhiệm thi hành Nghị định này.</w:t>
      </w:r>
    </w:p>
    <w:p w14:paraId="1A399E68" w14:textId="77777777" w:rsidR="00595B3B" w:rsidRPr="008C0828" w:rsidRDefault="00595B3B" w:rsidP="00AB0162">
      <w:pPr>
        <w:adjustRightInd w:val="0"/>
        <w:snapToGrid w:val="0"/>
        <w:rPr>
          <w:rFonts w:ascii="Arial" w:hAnsi="Arial" w:cs="Arial"/>
          <w:color w:val="000000" w:themeColor="text1"/>
          <w:sz w:val="20"/>
          <w:szCs w:val="20"/>
        </w:rPr>
      </w:pPr>
    </w:p>
    <w:p w14:paraId="40933766" w14:textId="77777777" w:rsidR="00595B3B" w:rsidRPr="008C0828" w:rsidRDefault="00595B3B" w:rsidP="00AB0162">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0828" w:rsidRPr="008C0828" w14:paraId="32B099D2" w14:textId="77777777" w:rsidTr="00372787">
        <w:tc>
          <w:tcPr>
            <w:tcW w:w="2500" w:type="pct"/>
          </w:tcPr>
          <w:p w14:paraId="63B08301" w14:textId="381995DC" w:rsidR="00372787" w:rsidRPr="008C0828" w:rsidRDefault="00372787" w:rsidP="00AB0162">
            <w:pPr>
              <w:adjustRightInd w:val="0"/>
              <w:snapToGrid w:val="0"/>
              <w:rPr>
                <w:rFonts w:ascii="Arial" w:hAnsi="Arial" w:cs="Arial"/>
                <w:color w:val="000000" w:themeColor="text1"/>
                <w:sz w:val="20"/>
                <w:szCs w:val="20"/>
              </w:rPr>
            </w:pPr>
            <w:r w:rsidRPr="008C0828">
              <w:rPr>
                <w:rFonts w:ascii="Arial" w:hAnsi="Arial" w:cs="Arial"/>
                <w:b/>
                <w:bCs/>
                <w:i/>
                <w:iCs/>
                <w:color w:val="000000" w:themeColor="text1"/>
                <w:sz w:val="20"/>
                <w:szCs w:val="20"/>
              </w:rPr>
              <w:t>Nơi nhận:</w:t>
            </w:r>
            <w:bookmarkStart w:id="79" w:name="bookmark75"/>
            <w:bookmarkEnd w:id="79"/>
            <w:r w:rsidRPr="008C0828">
              <w:rPr>
                <w:rFonts w:ascii="Arial" w:hAnsi="Arial" w:cs="Arial"/>
                <w:b/>
                <w:bCs/>
                <w:i/>
                <w:iCs/>
                <w:color w:val="000000" w:themeColor="text1"/>
                <w:sz w:val="20"/>
                <w:szCs w:val="20"/>
              </w:rPr>
              <w:br/>
            </w:r>
            <w:r w:rsidRPr="008C0828">
              <w:rPr>
                <w:rFonts w:ascii="Arial" w:hAnsi="Arial" w:cs="Arial"/>
                <w:color w:val="000000" w:themeColor="text1"/>
                <w:sz w:val="20"/>
                <w:szCs w:val="20"/>
              </w:rPr>
              <w:t>- Ban Bí thư Trung ương Đảng;</w:t>
            </w:r>
            <w:bookmarkStart w:id="80" w:name="bookmark76"/>
            <w:bookmarkEnd w:id="80"/>
            <w:r w:rsidRPr="008C0828">
              <w:rPr>
                <w:rFonts w:ascii="Arial" w:hAnsi="Arial" w:cs="Arial"/>
                <w:color w:val="000000" w:themeColor="text1"/>
                <w:sz w:val="20"/>
                <w:szCs w:val="20"/>
              </w:rPr>
              <w:br/>
              <w:t>- Thủ tướng, các Phó Thủ tướng Chính phủ;</w:t>
            </w:r>
            <w:bookmarkStart w:id="81" w:name="bookmark77"/>
            <w:bookmarkEnd w:id="81"/>
            <w:r w:rsidRPr="008C0828">
              <w:rPr>
                <w:rFonts w:ascii="Arial" w:hAnsi="Arial" w:cs="Arial"/>
                <w:color w:val="000000" w:themeColor="text1"/>
                <w:sz w:val="20"/>
                <w:szCs w:val="20"/>
              </w:rPr>
              <w:br/>
              <w:t>- Các bộ, cơ quan ngang bộ, cơ quan thuộc Chính phủ;</w:t>
            </w:r>
            <w:bookmarkStart w:id="82" w:name="bookmark78"/>
            <w:bookmarkEnd w:id="82"/>
            <w:r w:rsidRPr="008C0828">
              <w:rPr>
                <w:rFonts w:ascii="Arial" w:hAnsi="Arial" w:cs="Arial"/>
                <w:color w:val="000000" w:themeColor="text1"/>
                <w:sz w:val="20"/>
                <w:szCs w:val="20"/>
              </w:rPr>
              <w:br/>
              <w:t>- HĐND, UBND các tỉnh, thành phố trực thuộc trung ương;</w:t>
            </w:r>
            <w:bookmarkStart w:id="83" w:name="bookmark79"/>
            <w:bookmarkEnd w:id="83"/>
            <w:r w:rsidRPr="008C0828">
              <w:rPr>
                <w:rFonts w:ascii="Arial" w:hAnsi="Arial" w:cs="Arial"/>
                <w:color w:val="000000" w:themeColor="text1"/>
                <w:sz w:val="20"/>
                <w:szCs w:val="20"/>
              </w:rPr>
              <w:br/>
              <w:t>- Văn phòng Trung ương và các Ban của Đảng;</w:t>
            </w:r>
            <w:bookmarkStart w:id="84" w:name="bookmark80"/>
            <w:bookmarkEnd w:id="84"/>
            <w:r w:rsidRPr="008C0828">
              <w:rPr>
                <w:rFonts w:ascii="Arial" w:hAnsi="Arial" w:cs="Arial"/>
                <w:color w:val="000000" w:themeColor="text1"/>
                <w:sz w:val="20"/>
                <w:szCs w:val="20"/>
              </w:rPr>
              <w:br/>
              <w:t>- Văn phòng Tổng Bí thư;</w:t>
            </w:r>
            <w:bookmarkStart w:id="85" w:name="bookmark81"/>
            <w:bookmarkEnd w:id="85"/>
            <w:r w:rsidRPr="008C0828">
              <w:rPr>
                <w:rFonts w:ascii="Arial" w:hAnsi="Arial" w:cs="Arial"/>
                <w:color w:val="000000" w:themeColor="text1"/>
                <w:sz w:val="20"/>
                <w:szCs w:val="20"/>
              </w:rPr>
              <w:br/>
              <w:t>- Văn phòng Chủ tịch nước;</w:t>
            </w:r>
            <w:bookmarkStart w:id="86" w:name="bookmark82"/>
            <w:bookmarkEnd w:id="86"/>
            <w:r w:rsidRPr="008C0828">
              <w:rPr>
                <w:rFonts w:ascii="Arial" w:hAnsi="Arial" w:cs="Arial"/>
                <w:color w:val="000000" w:themeColor="text1"/>
                <w:sz w:val="20"/>
                <w:szCs w:val="20"/>
              </w:rPr>
              <w:br/>
              <w:t xml:space="preserve">- Hội đồng Dân tộc và các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của Quốc hội;</w:t>
            </w:r>
            <w:bookmarkStart w:id="87" w:name="bookmark83"/>
            <w:bookmarkEnd w:id="87"/>
            <w:r w:rsidRPr="008C0828">
              <w:rPr>
                <w:rFonts w:ascii="Arial" w:hAnsi="Arial" w:cs="Arial"/>
                <w:color w:val="000000" w:themeColor="text1"/>
                <w:sz w:val="20"/>
                <w:szCs w:val="20"/>
              </w:rPr>
              <w:br/>
              <w:t>- Văn phòng Quốc hội;</w:t>
            </w:r>
            <w:bookmarkStart w:id="88" w:name="bookmark84"/>
            <w:bookmarkEnd w:id="88"/>
            <w:r w:rsidRPr="008C0828">
              <w:rPr>
                <w:rFonts w:ascii="Arial" w:hAnsi="Arial" w:cs="Arial"/>
                <w:color w:val="000000" w:themeColor="text1"/>
                <w:sz w:val="20"/>
                <w:szCs w:val="20"/>
              </w:rPr>
              <w:br/>
              <w:t>- Toà án nhân dân tối cao;</w:t>
            </w:r>
            <w:bookmarkStart w:id="89" w:name="bookmark85"/>
            <w:bookmarkEnd w:id="89"/>
            <w:r w:rsidRPr="008C0828">
              <w:rPr>
                <w:rFonts w:ascii="Arial" w:hAnsi="Arial" w:cs="Arial"/>
                <w:color w:val="000000" w:themeColor="text1"/>
                <w:sz w:val="20"/>
                <w:szCs w:val="20"/>
              </w:rPr>
              <w:br/>
              <w:t>- Viện kiểm sát nhân dân tối cao;</w:t>
            </w:r>
            <w:bookmarkStart w:id="90" w:name="bookmark86"/>
            <w:bookmarkEnd w:id="90"/>
            <w:r w:rsidRPr="008C0828">
              <w:rPr>
                <w:rFonts w:ascii="Arial" w:hAnsi="Arial" w:cs="Arial"/>
                <w:color w:val="000000" w:themeColor="text1"/>
                <w:sz w:val="20"/>
                <w:szCs w:val="20"/>
              </w:rPr>
              <w:br/>
              <w:t>- Kiểm toán nhà nước;</w:t>
            </w:r>
            <w:bookmarkStart w:id="91" w:name="bookmark87"/>
            <w:bookmarkEnd w:id="91"/>
            <w:r w:rsidRPr="008C0828">
              <w:rPr>
                <w:rFonts w:ascii="Arial" w:hAnsi="Arial" w:cs="Arial"/>
                <w:color w:val="000000" w:themeColor="text1"/>
                <w:sz w:val="20"/>
                <w:szCs w:val="20"/>
              </w:rPr>
              <w:br/>
              <w:t xml:space="preserve">-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w:t>
            </w:r>
            <w:bookmarkStart w:id="92" w:name="bookmark88"/>
            <w:bookmarkEnd w:id="92"/>
            <w:r w:rsidRPr="008C0828">
              <w:rPr>
                <w:rFonts w:ascii="Arial" w:hAnsi="Arial" w:cs="Arial"/>
                <w:color w:val="000000" w:themeColor="text1"/>
                <w:sz w:val="20"/>
                <w:szCs w:val="20"/>
              </w:rPr>
              <w:br/>
              <w:t>- Cơ quan trung ương của các đoàn thể;</w:t>
            </w:r>
            <w:bookmarkStart w:id="93" w:name="bookmark89"/>
            <w:bookmarkEnd w:id="93"/>
            <w:r w:rsidRPr="008C0828">
              <w:rPr>
                <w:rFonts w:ascii="Arial" w:hAnsi="Arial" w:cs="Arial"/>
                <w:color w:val="000000" w:themeColor="text1"/>
                <w:sz w:val="20"/>
                <w:szCs w:val="20"/>
              </w:rPr>
              <w:br/>
              <w:t>- VPCP: BTCN, các PCN, Trợ lý TTg, TGĐ Cổng TTĐT, các Vụ, Cục, đơn vị trực thuộc Công báo;</w:t>
            </w:r>
            <w:r w:rsidRPr="008C0828">
              <w:rPr>
                <w:rFonts w:ascii="Arial" w:hAnsi="Arial" w:cs="Arial"/>
                <w:color w:val="000000" w:themeColor="text1"/>
                <w:sz w:val="20"/>
                <w:szCs w:val="20"/>
              </w:rPr>
              <w:br/>
              <w:t>- Lưu: VT, CN (2b).</w:t>
            </w:r>
          </w:p>
        </w:tc>
        <w:tc>
          <w:tcPr>
            <w:tcW w:w="2500" w:type="pct"/>
          </w:tcPr>
          <w:p w14:paraId="059EA871" w14:textId="75185A92" w:rsidR="00372787" w:rsidRPr="00FD13D0" w:rsidRDefault="00372787"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TM. CHÍNH PHỦ</w:t>
            </w:r>
            <w:r w:rsidRPr="00FD13D0">
              <w:rPr>
                <w:rFonts w:ascii="Arial" w:hAnsi="Arial" w:cs="Arial"/>
                <w:b/>
                <w:bCs/>
                <w:color w:val="000000" w:themeColor="text1"/>
                <w:sz w:val="20"/>
                <w:szCs w:val="20"/>
              </w:rPr>
              <w:br/>
            </w:r>
            <w:r w:rsidRPr="008C0828">
              <w:rPr>
                <w:rFonts w:ascii="Arial" w:hAnsi="Arial" w:cs="Arial"/>
                <w:b/>
                <w:bCs/>
                <w:color w:val="000000" w:themeColor="text1"/>
                <w:sz w:val="20"/>
                <w:szCs w:val="20"/>
              </w:rPr>
              <w:t>KT. THỦ TƯỚNG</w:t>
            </w:r>
            <w:r w:rsidRPr="008C0828">
              <w:rPr>
                <w:rFonts w:ascii="Arial" w:hAnsi="Arial" w:cs="Arial"/>
                <w:b/>
                <w:bCs/>
                <w:color w:val="000000" w:themeColor="text1"/>
                <w:sz w:val="20"/>
                <w:szCs w:val="20"/>
              </w:rPr>
              <w:br/>
              <w:t>PHÓ THỦ TƯỚNG</w:t>
            </w:r>
            <w:r w:rsidRPr="008C0828">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Pr="008C0828">
              <w:rPr>
                <w:rFonts w:ascii="Arial" w:hAnsi="Arial" w:cs="Arial"/>
                <w:b/>
                <w:bCs/>
                <w:color w:val="000000" w:themeColor="text1"/>
                <w:sz w:val="20"/>
                <w:szCs w:val="20"/>
              </w:rPr>
              <w:t>Hồ Đức Phớc</w:t>
            </w:r>
          </w:p>
        </w:tc>
      </w:tr>
    </w:tbl>
    <w:p w14:paraId="206E2084" w14:textId="77777777" w:rsidR="00372787" w:rsidRPr="00FD13D0" w:rsidRDefault="00372787" w:rsidP="00AB0162">
      <w:pPr>
        <w:adjustRightInd w:val="0"/>
        <w:snapToGrid w:val="0"/>
        <w:rPr>
          <w:rFonts w:ascii="Arial" w:hAnsi="Arial" w:cs="Arial"/>
          <w:color w:val="000000" w:themeColor="text1"/>
          <w:sz w:val="20"/>
          <w:szCs w:val="20"/>
        </w:rPr>
      </w:pPr>
    </w:p>
    <w:p w14:paraId="36A1441D" w14:textId="77777777" w:rsidR="00595B3B" w:rsidRPr="008C0828" w:rsidRDefault="00595B3B" w:rsidP="00AB0162">
      <w:pPr>
        <w:adjustRightInd w:val="0"/>
        <w:snapToGrid w:val="0"/>
        <w:rPr>
          <w:rFonts w:ascii="Arial" w:hAnsi="Arial" w:cs="Arial"/>
          <w:color w:val="000000" w:themeColor="text1"/>
          <w:sz w:val="20"/>
          <w:szCs w:val="20"/>
        </w:rPr>
        <w:sectPr w:rsidR="00595B3B" w:rsidRPr="008C0828" w:rsidSect="00595B3B">
          <w:type w:val="continuous"/>
          <w:pgSz w:w="11906" w:h="16838" w:code="9"/>
          <w:pgMar w:top="1440" w:right="1440" w:bottom="1440" w:left="1440" w:header="0" w:footer="3" w:gutter="0"/>
          <w:cols w:space="720"/>
          <w:noEndnote/>
          <w:docGrid w:linePitch="360"/>
        </w:sectPr>
      </w:pPr>
    </w:p>
    <w:p w14:paraId="4F8F5C38" w14:textId="455136AE" w:rsidR="00372787" w:rsidRPr="000415F4" w:rsidRDefault="00372787"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lastRenderedPageBreak/>
        <w:t xml:space="preserve">Phụ lục </w:t>
      </w:r>
      <w:r w:rsidR="000415F4" w:rsidRPr="000415F4">
        <w:rPr>
          <w:rFonts w:ascii="Arial" w:hAnsi="Arial" w:cs="Arial"/>
          <w:b/>
          <w:bCs/>
          <w:color w:val="000000" w:themeColor="text1"/>
          <w:sz w:val="20"/>
          <w:szCs w:val="20"/>
        </w:rPr>
        <w:t>I</w:t>
      </w:r>
    </w:p>
    <w:p w14:paraId="49D1C202" w14:textId="68E06758" w:rsidR="00372787" w:rsidRPr="008C0828" w:rsidRDefault="00372787"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DIỆN TÍCH LÀM VIỆC</w:t>
      </w:r>
      <w:r w:rsidRPr="008C0828">
        <w:rPr>
          <w:rFonts w:ascii="Arial" w:hAnsi="Arial" w:cs="Arial"/>
          <w:b/>
          <w:bCs/>
          <w:color w:val="000000" w:themeColor="text1"/>
          <w:sz w:val="20"/>
          <w:szCs w:val="20"/>
        </w:rPr>
        <w:br/>
        <w:t>CỦA CÁC CHỨC DANH THUỘC TRUNG ƯƠNG</w:t>
      </w:r>
    </w:p>
    <w:p w14:paraId="595A00C4" w14:textId="6732D3F6" w:rsidR="00372787" w:rsidRPr="00FD13D0" w:rsidRDefault="00372787" w:rsidP="00AB0162">
      <w:pPr>
        <w:adjustRightInd w:val="0"/>
        <w:snapToGrid w:val="0"/>
        <w:jc w:val="center"/>
        <w:rPr>
          <w:rFonts w:ascii="Arial" w:hAnsi="Arial" w:cs="Arial"/>
          <w:i/>
          <w:iCs/>
          <w:color w:val="000000" w:themeColor="text1"/>
          <w:sz w:val="20"/>
          <w:szCs w:val="20"/>
        </w:rPr>
      </w:pPr>
      <w:r w:rsidRPr="00FD13D0">
        <w:rPr>
          <w:rFonts w:ascii="Arial" w:hAnsi="Arial" w:cs="Arial"/>
          <w:i/>
          <w:iCs/>
          <w:color w:val="000000" w:themeColor="text1"/>
          <w:sz w:val="20"/>
          <w:szCs w:val="20"/>
        </w:rPr>
        <w:t>(Kèm theo Nghị định số 155/2025/NĐ-CP</w:t>
      </w:r>
      <w:r w:rsidRPr="00FD13D0">
        <w:rPr>
          <w:rFonts w:ascii="Arial" w:hAnsi="Arial" w:cs="Arial"/>
          <w:i/>
          <w:iCs/>
          <w:color w:val="000000" w:themeColor="text1"/>
          <w:sz w:val="20"/>
          <w:szCs w:val="20"/>
        </w:rPr>
        <w:br/>
        <w:t>ngày 16 tháng 6 năm 2025 của Chính phủ)</w:t>
      </w:r>
    </w:p>
    <w:p w14:paraId="587B37B9" w14:textId="7FBB8F34" w:rsidR="00372787" w:rsidRPr="008C0828" w:rsidRDefault="00372787" w:rsidP="00AB0162">
      <w:pPr>
        <w:adjustRightInd w:val="0"/>
        <w:snapToGrid w:val="0"/>
        <w:jc w:val="center"/>
        <w:rPr>
          <w:rFonts w:ascii="Arial" w:hAnsi="Arial" w:cs="Arial"/>
          <w:color w:val="000000" w:themeColor="text1"/>
          <w:sz w:val="20"/>
          <w:szCs w:val="20"/>
          <w:vertAlign w:val="superscript"/>
          <w:lang w:val="en-GB"/>
        </w:rPr>
      </w:pPr>
      <w:r w:rsidRPr="008C0828">
        <w:rPr>
          <w:rFonts w:ascii="Arial" w:hAnsi="Arial" w:cs="Arial"/>
          <w:color w:val="000000" w:themeColor="text1"/>
          <w:sz w:val="20"/>
          <w:szCs w:val="20"/>
          <w:vertAlign w:val="superscript"/>
          <w:lang w:val="en-GB"/>
        </w:rPr>
        <w:t>__________</w:t>
      </w:r>
    </w:p>
    <w:p w14:paraId="79807181" w14:textId="77777777" w:rsidR="00372787" w:rsidRPr="008C0828" w:rsidRDefault="00372787" w:rsidP="00AB0162">
      <w:pPr>
        <w:adjustRightInd w:val="0"/>
        <w:snapToGrid w:val="0"/>
        <w:rPr>
          <w:rFonts w:ascii="Arial" w:hAnsi="Arial" w:cs="Arial"/>
          <w:color w:val="000000" w:themeColor="text1"/>
          <w:sz w:val="20"/>
          <w:szCs w:val="20"/>
        </w:rPr>
      </w:pPr>
    </w:p>
    <w:tbl>
      <w:tblPr>
        <w:tblOverlap w:val="never"/>
        <w:tblW w:w="5000" w:type="pct"/>
        <w:tblCellMar>
          <w:left w:w="10" w:type="dxa"/>
          <w:right w:w="10" w:type="dxa"/>
        </w:tblCellMar>
        <w:tblLook w:val="04A0" w:firstRow="1" w:lastRow="0" w:firstColumn="1" w:lastColumn="0" w:noHBand="0" w:noVBand="1"/>
      </w:tblPr>
      <w:tblGrid>
        <w:gridCol w:w="835"/>
        <w:gridCol w:w="5887"/>
        <w:gridCol w:w="2294"/>
      </w:tblGrid>
      <w:tr w:rsidR="008C0828" w:rsidRPr="008C0828" w14:paraId="05A02253" w14:textId="77777777" w:rsidTr="00B6521C">
        <w:trPr>
          <w:trHeight w:val="20"/>
        </w:trPr>
        <w:tc>
          <w:tcPr>
            <w:tcW w:w="463" w:type="pct"/>
            <w:tcBorders>
              <w:top w:val="single" w:sz="4" w:space="0" w:color="auto"/>
              <w:left w:val="single" w:sz="4" w:space="0" w:color="auto"/>
            </w:tcBorders>
            <w:shd w:val="clear" w:color="auto" w:fill="FFFFFF"/>
            <w:vAlign w:val="center"/>
          </w:tcPr>
          <w:p w14:paraId="29C48EA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STT</w:t>
            </w:r>
          </w:p>
        </w:tc>
        <w:tc>
          <w:tcPr>
            <w:tcW w:w="3265" w:type="pct"/>
            <w:tcBorders>
              <w:top w:val="single" w:sz="4" w:space="0" w:color="auto"/>
              <w:left w:val="single" w:sz="4" w:space="0" w:color="auto"/>
            </w:tcBorders>
            <w:shd w:val="clear" w:color="auto" w:fill="FFFFFF"/>
            <w:vAlign w:val="center"/>
          </w:tcPr>
          <w:p w14:paraId="74A1418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Chức danh</w:t>
            </w:r>
          </w:p>
        </w:tc>
        <w:tc>
          <w:tcPr>
            <w:tcW w:w="1272" w:type="pct"/>
            <w:tcBorders>
              <w:top w:val="single" w:sz="4" w:space="0" w:color="auto"/>
              <w:left w:val="single" w:sz="4" w:space="0" w:color="auto"/>
              <w:right w:val="single" w:sz="4" w:space="0" w:color="auto"/>
            </w:tcBorders>
            <w:shd w:val="clear" w:color="auto" w:fill="FFFFFF"/>
            <w:vAlign w:val="center"/>
          </w:tcPr>
          <w:p w14:paraId="695BE654" w14:textId="34ED9B21"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Diện tích tối đa</w:t>
            </w:r>
            <w:r w:rsidR="00AB0162" w:rsidRPr="008C0828">
              <w:rPr>
                <w:rFonts w:ascii="Arial" w:hAnsi="Arial" w:cs="Arial"/>
                <w:b/>
                <w:bCs/>
                <w:color w:val="000000" w:themeColor="text1"/>
                <w:sz w:val="20"/>
                <w:szCs w:val="20"/>
              </w:rPr>
              <w:br/>
            </w:r>
            <w:r w:rsidR="00AB0162" w:rsidRPr="008C0828">
              <w:rPr>
                <w:rFonts w:ascii="Arial" w:hAnsi="Arial" w:cs="Arial"/>
                <w:i/>
                <w:iCs/>
                <w:color w:val="000000" w:themeColor="text1"/>
                <w:sz w:val="20"/>
                <w:szCs w:val="20"/>
              </w:rPr>
              <w:t>(m</w:t>
            </w:r>
            <w:r w:rsidR="00AB0162" w:rsidRPr="008C0828">
              <w:rPr>
                <w:rFonts w:ascii="Arial" w:hAnsi="Arial" w:cs="Arial"/>
                <w:i/>
                <w:iCs/>
                <w:color w:val="000000" w:themeColor="text1"/>
                <w:sz w:val="20"/>
                <w:szCs w:val="20"/>
                <w:vertAlign w:val="superscript"/>
              </w:rPr>
              <w:t>2</w:t>
            </w:r>
            <w:r w:rsidR="00AB0162" w:rsidRPr="008C0828">
              <w:rPr>
                <w:rFonts w:ascii="Arial" w:hAnsi="Arial" w:cs="Arial"/>
                <w:i/>
                <w:iCs/>
                <w:color w:val="000000" w:themeColor="text1"/>
                <w:sz w:val="20"/>
                <w:szCs w:val="20"/>
              </w:rPr>
              <w:t>/người)</w:t>
            </w:r>
          </w:p>
        </w:tc>
      </w:tr>
      <w:tr w:rsidR="008C0828" w:rsidRPr="008C0828" w14:paraId="05C044FC" w14:textId="77777777" w:rsidTr="00B6521C">
        <w:trPr>
          <w:trHeight w:val="20"/>
        </w:trPr>
        <w:tc>
          <w:tcPr>
            <w:tcW w:w="463" w:type="pct"/>
            <w:tcBorders>
              <w:top w:val="single" w:sz="4" w:space="0" w:color="auto"/>
              <w:left w:val="single" w:sz="4" w:space="0" w:color="auto"/>
            </w:tcBorders>
            <w:shd w:val="clear" w:color="auto" w:fill="FFFFFF"/>
            <w:vAlign w:val="center"/>
          </w:tcPr>
          <w:p w14:paraId="6B517CA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w:t>
            </w:r>
          </w:p>
        </w:tc>
        <w:tc>
          <w:tcPr>
            <w:tcW w:w="3265" w:type="pct"/>
            <w:tcBorders>
              <w:top w:val="single" w:sz="4" w:space="0" w:color="auto"/>
              <w:left w:val="single" w:sz="4" w:space="0" w:color="auto"/>
            </w:tcBorders>
            <w:shd w:val="clear" w:color="auto" w:fill="FFFFFF"/>
            <w:vAlign w:val="center"/>
          </w:tcPr>
          <w:p w14:paraId="3027FCD8"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Tổng Bí thư, Chủ tịch nước, Thủ tướng Chính phủ,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091BACC9" w14:textId="099BC600"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00372787"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8C0828" w:rsidRPr="008C0828" w14:paraId="5F7EA584" w14:textId="77777777" w:rsidTr="00B6521C">
        <w:trPr>
          <w:trHeight w:val="20"/>
        </w:trPr>
        <w:tc>
          <w:tcPr>
            <w:tcW w:w="463" w:type="pct"/>
            <w:tcBorders>
              <w:top w:val="single" w:sz="4" w:space="0" w:color="auto"/>
              <w:left w:val="single" w:sz="4" w:space="0" w:color="auto"/>
            </w:tcBorders>
            <w:shd w:val="clear" w:color="auto" w:fill="FFFFFF"/>
            <w:vAlign w:val="center"/>
          </w:tcPr>
          <w:p w14:paraId="3C23203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w:t>
            </w:r>
          </w:p>
        </w:tc>
        <w:tc>
          <w:tcPr>
            <w:tcW w:w="3265" w:type="pct"/>
            <w:tcBorders>
              <w:top w:val="single" w:sz="4" w:space="0" w:color="auto"/>
              <w:left w:val="single" w:sz="4" w:space="0" w:color="auto"/>
            </w:tcBorders>
            <w:shd w:val="clear" w:color="auto" w:fill="FFFFFF"/>
            <w:vAlign w:val="center"/>
          </w:tcPr>
          <w:p w14:paraId="2A98697A" w14:textId="5E28FFD6"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Thường trực Ban Bí thư; </w:t>
            </w:r>
            <w:r w:rsidR="00372787" w:rsidRPr="008C0828">
              <w:rPr>
                <w:rFonts w:ascii="Arial" w:hAnsi="Arial" w:cs="Arial"/>
                <w:color w:val="000000" w:themeColor="text1"/>
                <w:sz w:val="20"/>
                <w:szCs w:val="20"/>
              </w:rPr>
              <w:t>Ủ</w:t>
            </w:r>
            <w:r w:rsidRPr="008C0828">
              <w:rPr>
                <w:rFonts w:ascii="Arial" w:hAnsi="Arial" w:cs="Arial"/>
                <w:color w:val="000000" w:themeColor="text1"/>
                <w:sz w:val="20"/>
                <w:szCs w:val="20"/>
              </w:rPr>
              <w:t xml:space="preserve">y viên Bộ Chính trị; </w:t>
            </w:r>
            <w:r w:rsidR="00372787" w:rsidRPr="008C0828">
              <w:rPr>
                <w:rFonts w:ascii="Arial" w:hAnsi="Arial" w:cs="Arial"/>
                <w:color w:val="000000" w:themeColor="text1"/>
                <w:sz w:val="20"/>
                <w:szCs w:val="20"/>
              </w:rPr>
              <w:t>Ủ</w:t>
            </w:r>
            <w:r w:rsidRPr="008C0828">
              <w:rPr>
                <w:rFonts w:ascii="Arial" w:hAnsi="Arial" w:cs="Arial"/>
                <w:color w:val="000000" w:themeColor="text1"/>
                <w:sz w:val="20"/>
                <w:szCs w:val="20"/>
              </w:rPr>
              <w:t xml:space="preserve">y viên Ban Bí thư; Chủ tịch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 Chánh án Tòa án nhân dân tối cao; Viện trưởng Viện kiểm sát nhân dân tối cao; Phó Chủ tịch nước; Phó Thủ tướng Chính phủ; Phó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34133255" w14:textId="3807A91F"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00372787"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8C0828" w:rsidRPr="008C0828" w14:paraId="34F4E226" w14:textId="77777777" w:rsidTr="00B6521C">
        <w:trPr>
          <w:trHeight w:val="20"/>
        </w:trPr>
        <w:tc>
          <w:tcPr>
            <w:tcW w:w="463" w:type="pct"/>
            <w:tcBorders>
              <w:top w:val="single" w:sz="4" w:space="0" w:color="auto"/>
              <w:left w:val="single" w:sz="4" w:space="0" w:color="auto"/>
            </w:tcBorders>
            <w:shd w:val="clear" w:color="auto" w:fill="FFFFFF"/>
            <w:vAlign w:val="center"/>
          </w:tcPr>
          <w:p w14:paraId="18A0B37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w:t>
            </w:r>
          </w:p>
        </w:tc>
        <w:tc>
          <w:tcPr>
            <w:tcW w:w="3265" w:type="pct"/>
            <w:tcBorders>
              <w:top w:val="single" w:sz="4" w:space="0" w:color="auto"/>
              <w:left w:val="single" w:sz="4" w:space="0" w:color="auto"/>
            </w:tcBorders>
            <w:shd w:val="clear" w:color="auto" w:fill="FFFFFF"/>
            <w:vAlign w:val="center"/>
          </w:tcPr>
          <w:p w14:paraId="68118F08" w14:textId="18A45D7C" w:rsidR="00595B3B" w:rsidRPr="008C0828" w:rsidRDefault="00372787"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 xml:space="preserve">y viên Trung ương Đảng chính thức; Trưởng ban, cơ quan Đảng ở Trung ương; Giám đốc Học viện Chính trị quốc gia Hồ Chí Minh; Tổng Biên tập Báo Nhân Dân, Tổng Biên tập Tạp chí Cộng sản;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Thường vụ Quốc hội;</w:t>
            </w:r>
          </w:p>
          <w:p w14:paraId="04A90598" w14:textId="463BDB08" w:rsidR="00595B3B" w:rsidRPr="008C0828" w:rsidRDefault="00372787"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Bộ trưởng, Thủ trưởng cơ quan ngang bộ; Chủ nhiệm V</w:t>
            </w:r>
            <w:r w:rsidRPr="008C0828">
              <w:rPr>
                <w:rFonts w:ascii="Arial" w:hAnsi="Arial" w:cs="Arial"/>
                <w:color w:val="000000" w:themeColor="text1"/>
                <w:sz w:val="20"/>
                <w:szCs w:val="20"/>
              </w:rPr>
              <w:t>ă</w:t>
            </w:r>
            <w:r w:rsidR="00595B3B" w:rsidRPr="008C0828">
              <w:rPr>
                <w:rFonts w:ascii="Arial" w:hAnsi="Arial" w:cs="Arial"/>
                <w:color w:val="000000" w:themeColor="text1"/>
                <w:sz w:val="20"/>
                <w:szCs w:val="20"/>
              </w:rPr>
              <w:t>n phòng Chủ tịch nước;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ng Kiểm toán Nhà nước; Phó Chủ tịch - Tổng Thư kí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Trư</w:t>
            </w:r>
            <w:r w:rsidR="00B6521C"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 xml:space="preserve">ng tổ chức chính trị - xã hội ở Trung ương; Phó Chủ nhiệm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Kiểm tra Trung ương;</w:t>
            </w:r>
          </w:p>
          <w:p w14:paraId="634849F8" w14:textId="16F8DEE0"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674AA04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65</w:t>
            </w:r>
          </w:p>
        </w:tc>
      </w:tr>
      <w:tr w:rsidR="008C0828" w:rsidRPr="008C0828" w14:paraId="0CEA0107" w14:textId="77777777" w:rsidTr="00B6521C">
        <w:trPr>
          <w:trHeight w:val="20"/>
        </w:trPr>
        <w:tc>
          <w:tcPr>
            <w:tcW w:w="463" w:type="pct"/>
            <w:tcBorders>
              <w:top w:val="single" w:sz="4" w:space="0" w:color="auto"/>
              <w:left w:val="single" w:sz="4" w:space="0" w:color="auto"/>
              <w:bottom w:val="single" w:sz="4" w:space="0" w:color="auto"/>
            </w:tcBorders>
            <w:shd w:val="clear" w:color="auto" w:fill="FFFFFF"/>
            <w:vAlign w:val="center"/>
          </w:tcPr>
          <w:p w14:paraId="3194916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w:t>
            </w:r>
          </w:p>
        </w:tc>
        <w:tc>
          <w:tcPr>
            <w:tcW w:w="3265" w:type="pct"/>
            <w:tcBorders>
              <w:top w:val="single" w:sz="4" w:space="0" w:color="auto"/>
              <w:left w:val="single" w:sz="4" w:space="0" w:color="auto"/>
              <w:bottom w:val="single" w:sz="4" w:space="0" w:color="auto"/>
            </w:tcBorders>
            <w:shd w:val="clear" w:color="auto" w:fill="FFFFFF"/>
            <w:vAlign w:val="center"/>
          </w:tcPr>
          <w:p w14:paraId="2B9B5F88" w14:textId="3F32AC7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Thủ trưởng cơ quan thuộc Chính phủ;</w:t>
            </w:r>
          </w:p>
          <w:p w14:paraId="02ACBDF3" w14:textId="3A1F26D7"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Trưởng ban, cơ quan Đảng ở Trung ương; Phó Giám đốc Học viện Chính trị quốc gia Hồ Chí Minh; Phó Tổng Biên tập Báo Nhân Dân; Phó Tổng Biên tập Tạp chí Cộng sản; Phó Ch</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 tịch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 quốc Việt Nam; Phó Chủ tịch Hội đồng Dân tộc; Phó Chủ nhiệm các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của Quốc hội; Phó Chủ nhiệm </w:t>
            </w:r>
            <w:r w:rsidRPr="008C0828">
              <w:rPr>
                <w:rFonts w:ascii="Arial" w:hAnsi="Arial" w:cs="Arial"/>
                <w:color w:val="000000" w:themeColor="text1"/>
                <w:sz w:val="20"/>
                <w:szCs w:val="20"/>
              </w:rPr>
              <w:t>Văn</w:t>
            </w:r>
            <w:r w:rsidR="00595B3B" w:rsidRPr="008C0828">
              <w:rPr>
                <w:rFonts w:ascii="Arial" w:hAnsi="Arial" w:cs="Arial"/>
                <w:color w:val="000000" w:themeColor="text1"/>
                <w:sz w:val="20"/>
                <w:szCs w:val="20"/>
              </w:rPr>
              <w:t xml:space="preserve"> phòng Quốc hội; Phó Chánh án Tòa án nhân dân tối cao; Phó Viện trư</w:t>
            </w:r>
            <w:r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ng Viện kiểm sát nhân dân tối cao;</w:t>
            </w:r>
          </w:p>
          <w:p w14:paraId="1855B4FB" w14:textId="77777777" w:rsidR="00B6521C"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Thứ trưởng, Phó Thủ trưởng cơ quan ngang bộ; Phó Chủ nhiệm Văn phòng Chủ tịch nước; Phó Tổng Kiểm toán Nhà nước; Phó Chủ tịch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Phó trưởng các tổ</w:t>
            </w:r>
            <w:r w:rsidRPr="008C0828">
              <w:rPr>
                <w:rFonts w:ascii="Arial" w:hAnsi="Arial" w:cs="Arial"/>
                <w:color w:val="000000" w:themeColor="text1"/>
                <w:sz w:val="20"/>
                <w:szCs w:val="20"/>
              </w:rPr>
              <w:t xml:space="preserve"> chức chính trị - xã hội ở trung ương; Ủy viên Ủy ban Kiểm tra Trung ương; Giám đốc Nhà xuất bản Chính trị quốc gia Sự thật; Trợ lý các đồng chí lãnh đạo chủ chốt của Đảng, Nhà nước; Trợ lý Thường trực Ban Bí thư;</w:t>
            </w:r>
          </w:p>
          <w:p w14:paraId="2B0CD1E2" w14:textId="77777777" w:rsidR="00B6521C"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Giám đốc Đại học Quốc gia Hà Nội, Giám đốc Đại học Quốc gia Thành phố Hồ Chí Minh; Thẩm phán Tòa án nhân dân tối cao, Kiểm sát viên Viện kiểm sát nhân dân tối cao;</w:t>
            </w:r>
          </w:p>
          <w:p w14:paraId="37FFC914" w14:textId="25DC96A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AD1C7C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55</w:t>
            </w:r>
          </w:p>
        </w:tc>
      </w:tr>
      <w:tr w:rsidR="008C0828" w:rsidRPr="008C0828" w14:paraId="19254764" w14:textId="77777777" w:rsidTr="00B6521C">
        <w:tblPrEx>
          <w:jc w:val="right"/>
        </w:tblPrEx>
        <w:trPr>
          <w:trHeight w:val="20"/>
          <w:jc w:val="right"/>
        </w:trPr>
        <w:tc>
          <w:tcPr>
            <w:tcW w:w="463" w:type="pct"/>
            <w:tcBorders>
              <w:top w:val="single" w:sz="4" w:space="0" w:color="auto"/>
              <w:left w:val="single" w:sz="4" w:space="0" w:color="auto"/>
              <w:bottom w:val="single" w:sz="4" w:space="0" w:color="auto"/>
            </w:tcBorders>
            <w:shd w:val="clear" w:color="auto" w:fill="FFFFFF"/>
            <w:vAlign w:val="center"/>
          </w:tcPr>
          <w:p w14:paraId="291FA2E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w:t>
            </w:r>
          </w:p>
        </w:tc>
        <w:tc>
          <w:tcPr>
            <w:tcW w:w="3265" w:type="pct"/>
            <w:tcBorders>
              <w:top w:val="single" w:sz="4" w:space="0" w:color="auto"/>
              <w:left w:val="single" w:sz="4" w:space="0" w:color="auto"/>
              <w:bottom w:val="single" w:sz="4" w:space="0" w:color="auto"/>
            </w:tcBorders>
            <w:shd w:val="clear" w:color="auto" w:fill="FFFFFF"/>
            <w:vAlign w:val="center"/>
          </w:tcPr>
          <w:p w14:paraId="3DBA60C6" w14:textId="52CD7DE6"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Thủ trưởng cơ quan thuộc Chính phủ;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Thường trực Tiểu ban Bảo vệ chính trị nội bộ Trung 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là đại biểu Quốc hội hoạt động chuyên trách;</w:t>
            </w:r>
          </w:p>
          <w:p w14:paraId="321F5D61" w14:textId="0DA37589"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 xml:space="preserve">y viên Ban Biên tập Báo Nhân Dân;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Ban Biên tập Tạp chí Cộng sản; Phó trưởng ban chuyên trách hoặc ủy viên chuyên trách các ban chỉ đạo </w:t>
            </w:r>
            <w:r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 xml:space="preserve"> Trung ương; ban chỉ đạo do Thủ tướng, Phó Th</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 tướng làm trưởng ban chỉ đạo; Trợ lý các đồng chí lãnh đạo cấp cao của Đảng, Nhà nước;</w:t>
            </w:r>
          </w:p>
          <w:p w14:paraId="784E16B8" w14:textId="3E91DA5C"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Tổng Biên tập Báo Đại biểu nhân dân; Tổng Giám đốc Cổng Thông tin điện tử Chính phủ; Phó Giám đốc Đại học Quốc gia Hà Nội; Phó Giám đốc Đại học Quốc gia Thành phố Hồ Chí Minh;</w:t>
            </w:r>
          </w:p>
          <w:p w14:paraId="66CA91CB" w14:textId="5E40C7EE"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Giám đốc Nhà Xuất bản Chính trị quốc gia Sự thật; Phó Tổng Biên tập Báo Đại biểu nhân dân; Phó Tổng Giám đốc Cổng Thông tin điện tử Chính phủ; Giám đốc học viện trực thuộc Học viện Chính trị quốc gia Hồ Chí Minh;</w:t>
            </w:r>
          </w:p>
          <w:p w14:paraId="044809D1" w14:textId="7C8ABAA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lastRenderedPageBreak/>
              <w:t xml:space="preserve">- </w:t>
            </w:r>
            <w:r w:rsidR="00595B3B" w:rsidRPr="008C0828">
              <w:rPr>
                <w:rFonts w:ascii="Arial" w:hAnsi="Arial" w:cs="Arial"/>
                <w:color w:val="000000" w:themeColor="text1"/>
                <w:sz w:val="20"/>
                <w:szCs w:val="20"/>
              </w:rPr>
              <w:t>Vụ trưởng, cục trưởng, viện trưởng, trưởng ban và tương đương thuộc ban, cơ quan của Đảng; bộ, ngành cơ quan ngang bộ; cơ quan thuộc Chính phủ; Mặt trận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 quốc Việt Nam ở trung 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Hội đồng Biên tập Nhà xuất bản Chính trị quốc gia Sự thật; Thư ký các đồng chí lãnh đạo chủ chốt, lãnh đạo cấp cao của Đảng, Nhà nước;</w:t>
            </w:r>
          </w:p>
          <w:p w14:paraId="125AA1C6" w14:textId="77777777" w:rsidR="00595B3B" w:rsidRPr="00FD13D0"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Vụ trưởng và tương đương của Nhà xuất bản Chính trị </w:t>
            </w:r>
            <w:r w:rsidRPr="008C0828">
              <w:rPr>
                <w:rFonts w:ascii="Arial" w:hAnsi="Arial" w:cs="Arial"/>
                <w:color w:val="000000" w:themeColor="text1"/>
                <w:sz w:val="20"/>
                <w:szCs w:val="20"/>
              </w:rPr>
              <w:t xml:space="preserve">quốc </w:t>
            </w:r>
            <w:r w:rsidR="00595B3B" w:rsidRPr="008C0828">
              <w:rPr>
                <w:rFonts w:ascii="Arial" w:hAnsi="Arial" w:cs="Arial"/>
                <w:color w:val="000000" w:themeColor="text1"/>
                <w:sz w:val="20"/>
                <w:szCs w:val="20"/>
              </w:rPr>
              <w:t>gia Sự thật, trưởng cơ quan, đơn vị của Đại học Quốc gia Hà Nội, Đại học Quốc gia Thành phố H</w:t>
            </w:r>
            <w:r w:rsidRPr="008C0828">
              <w:rPr>
                <w:rFonts w:ascii="Arial" w:hAnsi="Arial" w:cs="Arial"/>
                <w:color w:val="000000" w:themeColor="text1"/>
                <w:sz w:val="20"/>
                <w:szCs w:val="20"/>
              </w:rPr>
              <w:t>ồ</w:t>
            </w:r>
            <w:r w:rsidR="00595B3B" w:rsidRPr="008C0828">
              <w:rPr>
                <w:rFonts w:ascii="Arial" w:hAnsi="Arial" w:cs="Arial"/>
                <w:color w:val="000000" w:themeColor="text1"/>
                <w:sz w:val="20"/>
                <w:szCs w:val="20"/>
              </w:rPr>
              <w:t xml:space="preserve"> Chí Minh; Phó giám đốc các học viện trực thuộc Học viện Chính trị quốc gia Hồ Chí Minh;</w:t>
            </w:r>
          </w:p>
          <w:p w14:paraId="5AAD4E12" w14:textId="39FCF3EF" w:rsidR="00B6521C" w:rsidRPr="00FD13D0"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598FCC1"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40</w:t>
            </w:r>
          </w:p>
        </w:tc>
      </w:tr>
      <w:tr w:rsidR="008C0828" w:rsidRPr="008C0828" w14:paraId="37894224"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1F747DE2"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w:t>
            </w:r>
          </w:p>
        </w:tc>
        <w:tc>
          <w:tcPr>
            <w:tcW w:w="3265" w:type="pct"/>
            <w:tcBorders>
              <w:top w:val="single" w:sz="4" w:space="0" w:color="auto"/>
              <w:left w:val="single" w:sz="4" w:space="0" w:color="auto"/>
            </w:tcBorders>
            <w:shd w:val="clear" w:color="auto" w:fill="FFFFFF"/>
            <w:vAlign w:val="center"/>
          </w:tcPr>
          <w:p w14:paraId="530E13AD" w14:textId="18E6141E"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vụ trưởng, phó cục trưởng, phó viện trưởng, phó trưởng ban và tương đương thuộc các ban, cơ quan của Đảng; bộ, ngành, cơ quan ngang bộ; cơ quan thuộc Chính phủ; Mặt trận Tổ quốc Việt Nam ở Trung ương; Thư ký các đồng chí ủy viên Trung ương Đảng, bộ trưởng và tương đương, đảng ủy trực thuộc Trung ương;</w:t>
            </w:r>
          </w:p>
          <w:p w14:paraId="5E15C61D" w14:textId="535B309B"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vụ trưởng và tương đương của Nhà xuất bản Chính trị quốc gia Sự thật, phó trưởng các cơ quan, đơn vị của Đại học Quốc gia Hà Nội, Đại học Quốc gia Thành phố Hồ Chí Minh;</w:t>
            </w:r>
          </w:p>
          <w:p w14:paraId="045E2074" w14:textId="69593E84"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2A0FB46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30</w:t>
            </w:r>
          </w:p>
        </w:tc>
      </w:tr>
      <w:tr w:rsidR="008C0828" w:rsidRPr="008C0828" w14:paraId="6348F006"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27BB2DAE"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7</w:t>
            </w:r>
          </w:p>
        </w:tc>
        <w:tc>
          <w:tcPr>
            <w:tcW w:w="3265" w:type="pct"/>
            <w:tcBorders>
              <w:top w:val="single" w:sz="4" w:space="0" w:color="auto"/>
              <w:left w:val="single" w:sz="4" w:space="0" w:color="auto"/>
            </w:tcBorders>
            <w:shd w:val="clear" w:color="auto" w:fill="FFFFFF"/>
            <w:vAlign w:val="center"/>
          </w:tcPr>
          <w:p w14:paraId="52D43471" w14:textId="2B3ED759"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Phó trưởng phòng và tương đương của các cơ quan, đơn vị thuộc các ban, cơ quan của Đảng; bộ, ngành, cơ quan ngang bộ; cơ quan thuộc Chính phủ; Mặt trận Tổ quốc Việt Nam ở Trung ương;</w:t>
            </w:r>
          </w:p>
          <w:p w14:paraId="31ECB0CA" w14:textId="17AEF555"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14:paraId="6046F1C6" w14:textId="4B2E5F97"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viên cao cấp, chuyên viên chính và các chức danh tương đương;</w:t>
            </w:r>
          </w:p>
          <w:p w14:paraId="1CB62235" w14:textId="5D903FE8"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124B069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20</w:t>
            </w:r>
          </w:p>
        </w:tc>
      </w:tr>
      <w:tr w:rsidR="008C0828" w:rsidRPr="008C0828" w14:paraId="2FE69BB1"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002D0B39"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8</w:t>
            </w:r>
          </w:p>
        </w:tc>
        <w:tc>
          <w:tcPr>
            <w:tcW w:w="3265" w:type="pct"/>
            <w:tcBorders>
              <w:top w:val="single" w:sz="4" w:space="0" w:color="auto"/>
              <w:left w:val="single" w:sz="4" w:space="0" w:color="auto"/>
            </w:tcBorders>
            <w:shd w:val="clear" w:color="auto" w:fill="FFFFFF"/>
            <w:vAlign w:val="center"/>
          </w:tcPr>
          <w:p w14:paraId="5B14328B"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Chuyên viên và các chức danh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30E3D81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15</w:t>
            </w:r>
          </w:p>
        </w:tc>
      </w:tr>
      <w:tr w:rsidR="008C0828" w:rsidRPr="008C0828" w14:paraId="730D22BF" w14:textId="77777777" w:rsidTr="00B6521C">
        <w:tblPrEx>
          <w:jc w:val="center"/>
        </w:tblPrEx>
        <w:trPr>
          <w:trHeight w:val="20"/>
          <w:jc w:val="center"/>
        </w:trPr>
        <w:tc>
          <w:tcPr>
            <w:tcW w:w="463" w:type="pct"/>
            <w:tcBorders>
              <w:top w:val="single" w:sz="4" w:space="0" w:color="auto"/>
              <w:left w:val="single" w:sz="4" w:space="0" w:color="auto"/>
              <w:bottom w:val="single" w:sz="4" w:space="0" w:color="auto"/>
            </w:tcBorders>
            <w:shd w:val="clear" w:color="auto" w:fill="FFFFFF"/>
            <w:vAlign w:val="center"/>
          </w:tcPr>
          <w:p w14:paraId="3CEF8FE5"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9</w:t>
            </w:r>
          </w:p>
        </w:tc>
        <w:tc>
          <w:tcPr>
            <w:tcW w:w="3265" w:type="pct"/>
            <w:tcBorders>
              <w:top w:val="single" w:sz="4" w:space="0" w:color="auto"/>
              <w:left w:val="single" w:sz="4" w:space="0" w:color="auto"/>
              <w:bottom w:val="single" w:sz="4" w:space="0" w:color="auto"/>
            </w:tcBorders>
            <w:shd w:val="clear" w:color="auto" w:fill="FFFFFF"/>
            <w:vAlign w:val="center"/>
          </w:tcPr>
          <w:p w14:paraId="4D701FAE" w14:textId="4C0CAEDD"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Cá nhân ký h</w:t>
            </w:r>
            <w:r w:rsidR="00B6521C" w:rsidRPr="008C0828">
              <w:rPr>
                <w:rFonts w:ascii="Arial" w:hAnsi="Arial" w:cs="Arial"/>
                <w:color w:val="000000" w:themeColor="text1"/>
                <w:sz w:val="20"/>
                <w:szCs w:val="20"/>
              </w:rPr>
              <w:t>ợ</w:t>
            </w:r>
            <w:r w:rsidRPr="008C0828">
              <w:rPr>
                <w:rFonts w:ascii="Arial" w:hAnsi="Arial" w:cs="Arial"/>
                <w:color w:val="000000" w:themeColor="text1"/>
                <w:sz w:val="20"/>
                <w:szCs w:val="20"/>
              </w:rPr>
              <w:t>p đồng lao động theo quy định của Chính phủ về hợp đồng đối với một số loại công việc trong cơ quan hành chính, đơn vị sự nghiệp công lập.</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17C27B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r>
    </w:tbl>
    <w:p w14:paraId="59FAF637" w14:textId="77777777" w:rsidR="00595B3B" w:rsidRPr="008C0828" w:rsidRDefault="00595B3B" w:rsidP="00AB0162">
      <w:pPr>
        <w:adjustRightInd w:val="0"/>
        <w:snapToGrid w:val="0"/>
        <w:rPr>
          <w:rFonts w:ascii="Arial" w:hAnsi="Arial" w:cs="Arial"/>
          <w:color w:val="000000" w:themeColor="text1"/>
          <w:sz w:val="20"/>
          <w:szCs w:val="20"/>
        </w:rPr>
      </w:pPr>
    </w:p>
    <w:p w14:paraId="0BC48D80" w14:textId="77777777" w:rsidR="00595B3B" w:rsidRPr="008C0828" w:rsidRDefault="00595B3B" w:rsidP="00AB0162">
      <w:pPr>
        <w:adjustRightInd w:val="0"/>
        <w:snapToGrid w:val="0"/>
        <w:spacing w:after="120"/>
        <w:ind w:firstLine="720"/>
        <w:jc w:val="both"/>
        <w:rPr>
          <w:rFonts w:ascii="Arial" w:hAnsi="Arial" w:cs="Arial"/>
          <w:b/>
          <w:bCs/>
          <w:color w:val="000000" w:themeColor="text1"/>
          <w:sz w:val="20"/>
          <w:szCs w:val="20"/>
        </w:rPr>
      </w:pPr>
      <w:r w:rsidRPr="008C0828">
        <w:rPr>
          <w:rFonts w:ascii="Arial" w:hAnsi="Arial" w:cs="Arial"/>
          <w:b/>
          <w:bCs/>
          <w:i/>
          <w:iCs/>
          <w:color w:val="000000" w:themeColor="text1"/>
          <w:sz w:val="20"/>
          <w:szCs w:val="20"/>
        </w:rPr>
        <w:t>Ghi chú:</w:t>
      </w:r>
    </w:p>
    <w:p w14:paraId="0E752219" w14:textId="3252AF8C" w:rsidR="00595B3B" w:rsidRPr="008C0828" w:rsidRDefault="00B6521C" w:rsidP="00AB0162">
      <w:pPr>
        <w:adjustRightInd w:val="0"/>
        <w:snapToGrid w:val="0"/>
        <w:spacing w:after="120"/>
        <w:ind w:firstLine="720"/>
        <w:jc w:val="both"/>
        <w:rPr>
          <w:rFonts w:ascii="Arial" w:hAnsi="Arial" w:cs="Arial"/>
          <w:color w:val="000000" w:themeColor="text1"/>
          <w:sz w:val="20"/>
          <w:szCs w:val="20"/>
        </w:rPr>
      </w:pPr>
      <w:bookmarkStart w:id="94" w:name="bookmark90"/>
      <w:bookmarkEnd w:id="94"/>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3 đến STT 4 thì diện tích tối đa nêu trên bao gồm diện tích làm việc, diện tích tiếp khách, ngoài ra các chức danh này được bố trí diện tích cần thiết khác (nếu có) và diện tích này không tính vào tổng diện tích của cơ quan, tổ chức, đơn vị quy định tại khoản 3 Điều 5 Nghị định này.</w:t>
      </w:r>
    </w:p>
    <w:p w14:paraId="3C0067F0" w14:textId="77777777" w:rsidR="00FB61D7" w:rsidRDefault="00B6521C" w:rsidP="00AB0162">
      <w:pPr>
        <w:adjustRightInd w:val="0"/>
        <w:snapToGrid w:val="0"/>
        <w:spacing w:after="120"/>
        <w:ind w:firstLine="720"/>
        <w:jc w:val="both"/>
        <w:rPr>
          <w:rFonts w:ascii="Arial" w:hAnsi="Arial" w:cs="Arial"/>
          <w:color w:val="000000" w:themeColor="text1"/>
          <w:sz w:val="20"/>
          <w:szCs w:val="20"/>
          <w:lang w:val="en-GB"/>
        </w:rPr>
      </w:pPr>
      <w:bookmarkStart w:id="95" w:name="bookmark91"/>
      <w:bookmarkEnd w:id="95"/>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5, STT 6 thì diện tích tối đa nêu trên bao gồm diện tích làm việc, diện tích tiếp khách.</w:t>
      </w:r>
      <w:r w:rsidR="00FB61D7" w:rsidRPr="00FB61D7">
        <w:rPr>
          <w:rFonts w:ascii="Arial" w:hAnsi="Arial" w:cs="Arial"/>
          <w:color w:val="000000" w:themeColor="text1"/>
          <w:sz w:val="20"/>
          <w:szCs w:val="20"/>
        </w:rPr>
        <w:t xml:space="preserve"> </w:t>
      </w:r>
    </w:p>
    <w:p w14:paraId="3EA9CE35" w14:textId="42C5DEC8"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br w:type="page"/>
      </w:r>
    </w:p>
    <w:p w14:paraId="135898C7" w14:textId="6314BCEA" w:rsidR="00595B3B" w:rsidRPr="008C0828"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lastRenderedPageBreak/>
        <w:t>Phụ lục II</w:t>
      </w:r>
    </w:p>
    <w:p w14:paraId="48E9D5BF" w14:textId="61A7F4D3" w:rsidR="00595B3B" w:rsidRPr="008C0828" w:rsidRDefault="00421F94"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 xml:space="preserve">TIÊU CHUẨN, </w:t>
      </w:r>
      <w:r w:rsidR="00595B3B" w:rsidRPr="008C0828">
        <w:rPr>
          <w:rFonts w:ascii="Arial" w:hAnsi="Arial" w:cs="Arial"/>
          <w:b/>
          <w:bCs/>
          <w:color w:val="000000" w:themeColor="text1"/>
          <w:sz w:val="20"/>
          <w:szCs w:val="20"/>
        </w:rPr>
        <w:t xml:space="preserve">ĐỊNH MỨC SỬ DỤNG DIỆN TÍCH LÀM VIỆC </w:t>
      </w:r>
      <w:r w:rsidRPr="008C0828">
        <w:rPr>
          <w:rFonts w:ascii="Arial" w:hAnsi="Arial" w:cs="Arial"/>
          <w:b/>
          <w:bCs/>
          <w:color w:val="000000" w:themeColor="text1"/>
          <w:sz w:val="20"/>
          <w:szCs w:val="20"/>
        </w:rPr>
        <w:br/>
        <w:t xml:space="preserve">CỦA CÁC CHỨC </w:t>
      </w:r>
      <w:r w:rsidR="00595B3B" w:rsidRPr="008C0828">
        <w:rPr>
          <w:rFonts w:ascii="Arial" w:hAnsi="Arial" w:cs="Arial"/>
          <w:b/>
          <w:bCs/>
          <w:color w:val="000000" w:themeColor="text1"/>
          <w:sz w:val="20"/>
          <w:szCs w:val="20"/>
        </w:rPr>
        <w:t>DANH THUỘC ĐỊA PHƯƠNG</w:t>
      </w:r>
    </w:p>
    <w:p w14:paraId="2FF7A70F" w14:textId="77777777" w:rsidR="00421F94" w:rsidRPr="00FD13D0" w:rsidRDefault="00421F94" w:rsidP="00AB0162">
      <w:pPr>
        <w:adjustRightInd w:val="0"/>
        <w:snapToGrid w:val="0"/>
        <w:jc w:val="center"/>
        <w:rPr>
          <w:rFonts w:ascii="Arial" w:hAnsi="Arial" w:cs="Arial"/>
          <w:i/>
          <w:iCs/>
          <w:color w:val="000000" w:themeColor="text1"/>
          <w:sz w:val="20"/>
          <w:szCs w:val="20"/>
        </w:rPr>
      </w:pPr>
      <w:r w:rsidRPr="00FD13D0">
        <w:rPr>
          <w:rFonts w:ascii="Arial" w:hAnsi="Arial" w:cs="Arial"/>
          <w:i/>
          <w:iCs/>
          <w:color w:val="000000" w:themeColor="text1"/>
          <w:sz w:val="20"/>
          <w:szCs w:val="20"/>
        </w:rPr>
        <w:t>(Kèm theo Nghị định số 155/2025/NĐ-CP</w:t>
      </w:r>
      <w:r w:rsidRPr="00FD13D0">
        <w:rPr>
          <w:rFonts w:ascii="Arial" w:hAnsi="Arial" w:cs="Arial"/>
          <w:i/>
          <w:iCs/>
          <w:color w:val="000000" w:themeColor="text1"/>
          <w:sz w:val="20"/>
          <w:szCs w:val="20"/>
        </w:rPr>
        <w:br/>
        <w:t>ngày 16 tháng 6 năm 2025 của Chính phủ)</w:t>
      </w:r>
    </w:p>
    <w:p w14:paraId="332866AC" w14:textId="4AD0A45E" w:rsidR="00421F94" w:rsidRPr="008C0828" w:rsidRDefault="00421F94"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color w:val="000000" w:themeColor="text1"/>
          <w:sz w:val="20"/>
          <w:szCs w:val="20"/>
          <w:vertAlign w:val="superscript"/>
          <w:lang w:val="en-GB"/>
        </w:rPr>
        <w:t>__________</w:t>
      </w:r>
    </w:p>
    <w:p w14:paraId="6D745A8F" w14:textId="56469A56" w:rsidR="00595B3B" w:rsidRPr="008C0828" w:rsidRDefault="00595B3B" w:rsidP="00AB0162">
      <w:pPr>
        <w:adjustRightInd w:val="0"/>
        <w:snapToGrid w:val="0"/>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9"/>
        <w:gridCol w:w="6396"/>
        <w:gridCol w:w="1821"/>
      </w:tblGrid>
      <w:tr w:rsidR="008C0828" w:rsidRPr="008C0828" w14:paraId="39C4B0F6"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23C3195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STT</w:t>
            </w:r>
          </w:p>
        </w:tc>
        <w:tc>
          <w:tcPr>
            <w:tcW w:w="3547" w:type="pct"/>
            <w:tcBorders>
              <w:top w:val="single" w:sz="4" w:space="0" w:color="auto"/>
              <w:left w:val="single" w:sz="4" w:space="0" w:color="auto"/>
            </w:tcBorders>
            <w:shd w:val="clear" w:color="auto" w:fill="FFFFFF"/>
            <w:vAlign w:val="center"/>
          </w:tcPr>
          <w:p w14:paraId="0EAFB59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Chức danh</w:t>
            </w:r>
          </w:p>
        </w:tc>
        <w:tc>
          <w:tcPr>
            <w:tcW w:w="1010" w:type="pct"/>
            <w:tcBorders>
              <w:top w:val="single" w:sz="4" w:space="0" w:color="auto"/>
              <w:left w:val="single" w:sz="4" w:space="0" w:color="auto"/>
              <w:right w:val="single" w:sz="4" w:space="0" w:color="auto"/>
            </w:tcBorders>
            <w:shd w:val="clear" w:color="auto" w:fill="FFFFFF"/>
            <w:vAlign w:val="center"/>
          </w:tcPr>
          <w:p w14:paraId="221FD1EA" w14:textId="142321BC"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Diện tích tối đa</w:t>
            </w:r>
            <w:r w:rsidR="00421F94" w:rsidRPr="008C0828">
              <w:rPr>
                <w:rFonts w:ascii="Arial" w:hAnsi="Arial" w:cs="Arial"/>
                <w:b/>
                <w:bCs/>
                <w:color w:val="000000" w:themeColor="text1"/>
                <w:sz w:val="20"/>
                <w:szCs w:val="20"/>
              </w:rPr>
              <w:br/>
            </w:r>
            <w:r w:rsidRPr="008C0828">
              <w:rPr>
                <w:rFonts w:ascii="Arial" w:hAnsi="Arial" w:cs="Arial"/>
                <w:i/>
                <w:iCs/>
                <w:color w:val="000000" w:themeColor="text1"/>
                <w:sz w:val="20"/>
                <w:szCs w:val="20"/>
              </w:rPr>
              <w:t>(</w:t>
            </w:r>
            <w:r w:rsidR="00421F94" w:rsidRPr="008C0828">
              <w:rPr>
                <w:rFonts w:ascii="Arial" w:hAnsi="Arial" w:cs="Arial"/>
                <w:i/>
                <w:iCs/>
                <w:color w:val="000000" w:themeColor="text1"/>
                <w:sz w:val="20"/>
                <w:szCs w:val="20"/>
              </w:rPr>
              <w:t>m</w:t>
            </w:r>
            <w:r w:rsidR="00421F94" w:rsidRPr="008C0828">
              <w:rPr>
                <w:rFonts w:ascii="Arial" w:hAnsi="Arial" w:cs="Arial"/>
                <w:i/>
                <w:iCs/>
                <w:color w:val="000000" w:themeColor="text1"/>
                <w:sz w:val="20"/>
                <w:szCs w:val="20"/>
                <w:vertAlign w:val="superscript"/>
              </w:rPr>
              <w:t>2</w:t>
            </w:r>
            <w:r w:rsidRPr="008C0828">
              <w:rPr>
                <w:rFonts w:ascii="Arial" w:hAnsi="Arial" w:cs="Arial"/>
                <w:i/>
                <w:iCs/>
                <w:color w:val="000000" w:themeColor="text1"/>
                <w:sz w:val="20"/>
                <w:szCs w:val="20"/>
              </w:rPr>
              <w:t>/người)</w:t>
            </w:r>
          </w:p>
        </w:tc>
      </w:tr>
      <w:tr w:rsidR="008C0828" w:rsidRPr="008C0828" w14:paraId="4C6C3559"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49C594A0"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w:t>
            </w:r>
          </w:p>
        </w:tc>
        <w:tc>
          <w:tcPr>
            <w:tcW w:w="3547" w:type="pct"/>
            <w:tcBorders>
              <w:top w:val="single" w:sz="4" w:space="0" w:color="auto"/>
              <w:left w:val="single" w:sz="4" w:space="0" w:color="auto"/>
            </w:tcBorders>
            <w:shd w:val="clear" w:color="auto" w:fill="FFFFFF"/>
            <w:vAlign w:val="center"/>
          </w:tcPr>
          <w:p w14:paraId="3BE38E00" w14:textId="47D0949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Bộ Chính trị, Bí thư Thành ủy Hà Nội, Bí thư Thành ủy Thành phố Hồ Chí Minh</w:t>
            </w:r>
          </w:p>
        </w:tc>
        <w:tc>
          <w:tcPr>
            <w:tcW w:w="1010" w:type="pct"/>
            <w:tcBorders>
              <w:top w:val="single" w:sz="4" w:space="0" w:color="auto"/>
              <w:left w:val="single" w:sz="4" w:space="0" w:color="auto"/>
              <w:right w:val="single" w:sz="4" w:space="0" w:color="auto"/>
            </w:tcBorders>
            <w:shd w:val="clear" w:color="auto" w:fill="FFFFFF"/>
            <w:vAlign w:val="center"/>
          </w:tcPr>
          <w:p w14:paraId="23CB619B" w14:textId="6EC5DD7D"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w:t>
            </w:r>
            <w:r w:rsidR="00421F94" w:rsidRPr="00FD13D0">
              <w:rPr>
                <w:rFonts w:ascii="Arial" w:hAnsi="Arial" w:cs="Arial"/>
                <w:color w:val="000000" w:themeColor="text1"/>
                <w:sz w:val="20"/>
                <w:szCs w:val="20"/>
              </w:rPr>
              <w:br/>
            </w:r>
            <w:r w:rsidRPr="008C0828">
              <w:rPr>
                <w:rFonts w:ascii="Arial" w:hAnsi="Arial" w:cs="Arial"/>
                <w:color w:val="000000" w:themeColor="text1"/>
                <w:sz w:val="20"/>
                <w:szCs w:val="20"/>
              </w:rPr>
              <w:t xml:space="preserve">theo yêu cầu </w:t>
            </w:r>
            <w:r w:rsidR="00421F94" w:rsidRPr="00FD13D0">
              <w:rPr>
                <w:rFonts w:ascii="Arial" w:hAnsi="Arial" w:cs="Arial"/>
                <w:color w:val="000000" w:themeColor="text1"/>
                <w:sz w:val="20"/>
                <w:szCs w:val="20"/>
              </w:rPr>
              <w:br/>
            </w:r>
            <w:r w:rsidRPr="008C0828">
              <w:rPr>
                <w:rFonts w:ascii="Arial" w:hAnsi="Arial" w:cs="Arial"/>
                <w:color w:val="000000" w:themeColor="text1"/>
                <w:sz w:val="20"/>
                <w:szCs w:val="20"/>
              </w:rPr>
              <w:t>công tác</w:t>
            </w:r>
          </w:p>
        </w:tc>
      </w:tr>
      <w:tr w:rsidR="008C0828" w:rsidRPr="008C0828" w14:paraId="3C99FC0F"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6E478074"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w:t>
            </w:r>
          </w:p>
        </w:tc>
        <w:tc>
          <w:tcPr>
            <w:tcW w:w="3547" w:type="pct"/>
            <w:tcBorders>
              <w:top w:val="single" w:sz="4" w:space="0" w:color="auto"/>
              <w:left w:val="single" w:sz="4" w:space="0" w:color="auto"/>
            </w:tcBorders>
            <w:shd w:val="clear" w:color="auto" w:fill="FFFFFF"/>
            <w:vAlign w:val="center"/>
          </w:tcPr>
          <w:p w14:paraId="4817DC46" w14:textId="1445988E"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Trung ương Đảng chính thức;</w:t>
            </w:r>
          </w:p>
          <w:p w14:paraId="566A4644" w14:textId="537B919D"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Bí thư Tỉnh ủy, Thành ủy (trừ thành phố Hà Nội và Thành phố Hồ Chí Minh); Phó Bí thư Thành ủy Hà Nội, Thành ủy Thành phố Hồ Chí Minh; Chủ tịch Hội đồng nhân dân,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thành phố Hà Nội, Thành phố Hồ Ch</w:t>
            </w:r>
            <w:r w:rsidR="00AB0162" w:rsidRPr="008C0828">
              <w:rPr>
                <w:rFonts w:ascii="Arial" w:hAnsi="Arial" w:cs="Arial"/>
                <w:color w:val="000000" w:themeColor="text1"/>
                <w:sz w:val="20"/>
                <w:szCs w:val="20"/>
              </w:rPr>
              <w:t>í</w:t>
            </w:r>
            <w:r w:rsidR="00595B3B" w:rsidRPr="008C0828">
              <w:rPr>
                <w:rFonts w:ascii="Arial" w:hAnsi="Arial" w:cs="Arial"/>
                <w:color w:val="000000" w:themeColor="text1"/>
                <w:sz w:val="20"/>
                <w:szCs w:val="20"/>
              </w:rPr>
              <w:t xml:space="preserve"> Minh;</w:t>
            </w:r>
          </w:p>
          <w:p w14:paraId="46167A91" w14:textId="4CD4CEB7"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6768DAA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65</w:t>
            </w:r>
          </w:p>
        </w:tc>
      </w:tr>
      <w:tr w:rsidR="008C0828" w:rsidRPr="008C0828" w14:paraId="209F4853"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A67A3C9"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w:t>
            </w:r>
          </w:p>
        </w:tc>
        <w:tc>
          <w:tcPr>
            <w:tcW w:w="3547" w:type="pct"/>
            <w:tcBorders>
              <w:top w:val="single" w:sz="4" w:space="0" w:color="auto"/>
              <w:left w:val="single" w:sz="4" w:space="0" w:color="auto"/>
            </w:tcBorders>
            <w:shd w:val="clear" w:color="auto" w:fill="FFFFFF"/>
            <w:vAlign w:val="center"/>
          </w:tcPr>
          <w:p w14:paraId="75035C23" w14:textId="3C35E41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Bí thư Tỉnh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Thành uỷ; Chủ tịch Hội đồng nhân dân,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 trực thuộc trung ương (trừ thành phố Hà Nội và Thành phố Hồ Chí Minh);</w:t>
            </w:r>
          </w:p>
          <w:p w14:paraId="1CF2B051" w14:textId="2101B6EC"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Ban Thường vụ Thành ủy Hà Nội, Thành ủy Thành phố Hồ Chí Minh; Trưởng đoàn đại biểu Quốc hội tỉnh, thành phố trực thuộc trung ương;</w:t>
            </w:r>
          </w:p>
          <w:p w14:paraId="2562C1CF" w14:textId="1A16CAA1"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thành phố Hà Nội, Thành phố Hồ Chí Minh;</w:t>
            </w:r>
          </w:p>
          <w:p w14:paraId="58B1E662" w14:textId="2AA1631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3BE022AE"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55</w:t>
            </w:r>
          </w:p>
        </w:tc>
      </w:tr>
      <w:tr w:rsidR="008C0828" w:rsidRPr="008C0828" w14:paraId="373D4B24"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19A66D33"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w:t>
            </w:r>
          </w:p>
        </w:tc>
        <w:tc>
          <w:tcPr>
            <w:tcW w:w="3547" w:type="pct"/>
            <w:tcBorders>
              <w:top w:val="single" w:sz="4" w:space="0" w:color="auto"/>
              <w:left w:val="single" w:sz="4" w:space="0" w:color="auto"/>
            </w:tcBorders>
            <w:shd w:val="clear" w:color="auto" w:fill="FFFFFF"/>
            <w:vAlign w:val="center"/>
          </w:tcPr>
          <w:p w14:paraId="20B7F739" w14:textId="3F21E5F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Ban Thường vụ tỉnh ủy, thành ủy các tỉnh, thành phố trực thuộc trung ương (trừ thành phố Hà Nội và Thành phố Hồ Chí Minh);</w:t>
            </w:r>
          </w:p>
          <w:p w14:paraId="4C941A4D" w14:textId="658B129E"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Việt Nam tỉnh, thành phố trực thuộc trung ương; 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 trực thuộc trung ương; Phó trưởng đoàn đại biểu Quốc hội chuyên trách các tỉnh, thành phố trực thuộc trung ương;</w:t>
            </w:r>
          </w:p>
          <w:p w14:paraId="68C1D895" w14:textId="3C1EB1F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6F9EB972"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45</w:t>
            </w:r>
          </w:p>
        </w:tc>
      </w:tr>
      <w:tr w:rsidR="008C0828" w:rsidRPr="008C0828" w14:paraId="77E37891" w14:textId="77777777" w:rsidTr="00421F94">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14:paraId="45788051"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w:t>
            </w:r>
          </w:p>
        </w:tc>
        <w:tc>
          <w:tcPr>
            <w:tcW w:w="3547" w:type="pct"/>
            <w:tcBorders>
              <w:top w:val="single" w:sz="4" w:space="0" w:color="auto"/>
              <w:left w:val="single" w:sz="4" w:space="0" w:color="auto"/>
              <w:bottom w:val="single" w:sz="4" w:space="0" w:color="auto"/>
            </w:tcBorders>
            <w:shd w:val="clear" w:color="auto" w:fill="FFFFFF"/>
            <w:vAlign w:val="center"/>
          </w:tcPr>
          <w:p w14:paraId="3ADF6DE8" w14:textId="3448A670"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ban Đảng, cơ quan trực thuộc tỉnh ủy, thành ủy;</w:t>
            </w:r>
          </w:p>
          <w:p w14:paraId="288825E3" w14:textId="64278C9D"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Giám đốc sở, trưởng các cơ quan, ban, ngành và tương đương cấp tỉnh;</w:t>
            </w:r>
          </w:p>
          <w:p w14:paraId="0A224FAF" w14:textId="272DCDA0"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14:paraId="6157945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40</w:t>
            </w:r>
          </w:p>
        </w:tc>
      </w:tr>
      <w:tr w:rsidR="008C0828" w:rsidRPr="008C0828" w14:paraId="2E13884F"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5C89BE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w:t>
            </w:r>
          </w:p>
        </w:tc>
        <w:tc>
          <w:tcPr>
            <w:tcW w:w="3547" w:type="pct"/>
            <w:tcBorders>
              <w:top w:val="single" w:sz="4" w:space="0" w:color="auto"/>
              <w:left w:val="single" w:sz="4" w:space="0" w:color="auto"/>
            </w:tcBorders>
            <w:shd w:val="clear" w:color="auto" w:fill="FFFFFF"/>
            <w:vAlign w:val="center"/>
          </w:tcPr>
          <w:p w14:paraId="2C12774A" w14:textId="6AD2FB8F"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Trưởng ban Đảng, cơ quan trực thuộc tỉnh ủy, thành ủy;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Việt Nam tỉnh, thành phố trực thuộc trung ương; Thư ký bí thư tỉnh ủy, thành ủy;</w:t>
            </w:r>
          </w:p>
          <w:p w14:paraId="5B772188" w14:textId="3669B425"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giám đốc sở, phó trưởng các cơ quan, ban, ngành và tương đương thuộc địa phương;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kiểm tra tỉnh ủy, thành ủy trực thuộc trung ương;</w:t>
            </w:r>
          </w:p>
          <w:p w14:paraId="044E3B79" w14:textId="378D4486"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Bí thư đảng ủy cấp xã và tương đương;</w:t>
            </w:r>
          </w:p>
          <w:p w14:paraId="484C34FF" w14:textId="7C72F20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4935BFF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30</w:t>
            </w:r>
          </w:p>
        </w:tc>
      </w:tr>
      <w:tr w:rsidR="008C0828" w:rsidRPr="008C0828" w14:paraId="669C337C"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3E60FD0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7</w:t>
            </w:r>
          </w:p>
        </w:tc>
        <w:tc>
          <w:tcPr>
            <w:tcW w:w="3547" w:type="pct"/>
            <w:tcBorders>
              <w:top w:val="single" w:sz="4" w:space="0" w:color="auto"/>
              <w:left w:val="single" w:sz="4" w:space="0" w:color="auto"/>
            </w:tcBorders>
            <w:shd w:val="clear" w:color="auto" w:fill="FFFFFF"/>
            <w:vAlign w:val="center"/>
          </w:tcPr>
          <w:p w14:paraId="29D84745" w14:textId="3647305C"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bí thư đảng </w:t>
            </w:r>
            <w:r w:rsidRPr="008C0828">
              <w:rPr>
                <w:rFonts w:ascii="Arial" w:hAnsi="Arial" w:cs="Arial"/>
                <w:color w:val="000000" w:themeColor="text1"/>
                <w:sz w:val="20"/>
                <w:szCs w:val="20"/>
              </w:rPr>
              <w:t>ủy</w:t>
            </w:r>
            <w:r w:rsidR="00595B3B" w:rsidRPr="008C0828">
              <w:rPr>
                <w:rFonts w:ascii="Arial" w:hAnsi="Arial" w:cs="Arial"/>
                <w:color w:val="000000" w:themeColor="text1"/>
                <w:sz w:val="20"/>
                <w:szCs w:val="20"/>
              </w:rPr>
              <w:t xml:space="preserve"> cấp xã và tương đương; Chủ tịch Hội đồng nhân dân,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w:t>
            </w:r>
          </w:p>
          <w:p w14:paraId="6932E55A" w14:textId="449D8C9F"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cấp xã;</w:t>
            </w:r>
          </w:p>
          <w:p w14:paraId="60958BE1" w14:textId="7FE7D9E8"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Trưởng phòng, Phó trưởng phòng và tương đương các ban, cơ quan thuộc tỉnh ủy, thành ủy, văn phòng Hội đồng nhân dân, </w:t>
            </w:r>
            <w:r w:rsidR="00B6521C" w:rsidRPr="008C0828">
              <w:rPr>
                <w:rFonts w:ascii="Arial" w:hAnsi="Arial" w:cs="Arial"/>
                <w:color w:val="000000" w:themeColor="text1"/>
                <w:sz w:val="20"/>
                <w:szCs w:val="20"/>
              </w:rPr>
              <w:t>văn</w:t>
            </w:r>
            <w:r w:rsidR="00595B3B" w:rsidRPr="008C0828">
              <w:rPr>
                <w:rFonts w:ascii="Arial" w:hAnsi="Arial" w:cs="Arial"/>
                <w:color w:val="000000" w:themeColor="text1"/>
                <w:sz w:val="20"/>
                <w:szCs w:val="20"/>
              </w:rPr>
              <w:t xml:space="preserve"> phòng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w:t>
            </w:r>
          </w:p>
          <w:p w14:paraId="64241CF0" w14:textId="3C58A6D8"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phòng, Phó trưởng phòng và tương đương của sở, các cơ quan, ban, ngành cấp tỉnh;</w:t>
            </w:r>
          </w:p>
          <w:p w14:paraId="58771A19" w14:textId="5D0A2CDF"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viên cao cấp, chuyên viên chính và tương đương của sở, các cơ quan, ban, ngành cấp tỉnh, cấp xã;</w:t>
            </w:r>
          </w:p>
          <w:p w14:paraId="6C311509" w14:textId="40750FDD"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3200DFF3"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20</w:t>
            </w:r>
          </w:p>
        </w:tc>
      </w:tr>
      <w:tr w:rsidR="008C0828" w:rsidRPr="008C0828" w14:paraId="40AB0583"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116FFD75"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8</w:t>
            </w:r>
          </w:p>
        </w:tc>
        <w:tc>
          <w:tcPr>
            <w:tcW w:w="3547" w:type="pct"/>
            <w:tcBorders>
              <w:top w:val="single" w:sz="4" w:space="0" w:color="auto"/>
              <w:left w:val="single" w:sz="4" w:space="0" w:color="auto"/>
            </w:tcBorders>
            <w:shd w:val="clear" w:color="auto" w:fill="FFFFFF"/>
            <w:vAlign w:val="center"/>
          </w:tcPr>
          <w:p w14:paraId="105B2A14"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Trưởng phòng, Phó trưởng phòng, ban, cơ quan và tương đương cấp xã.</w:t>
            </w:r>
          </w:p>
        </w:tc>
        <w:tc>
          <w:tcPr>
            <w:tcW w:w="1010" w:type="pct"/>
            <w:tcBorders>
              <w:top w:val="single" w:sz="4" w:space="0" w:color="auto"/>
              <w:left w:val="single" w:sz="4" w:space="0" w:color="auto"/>
              <w:right w:val="single" w:sz="4" w:space="0" w:color="auto"/>
            </w:tcBorders>
            <w:shd w:val="clear" w:color="auto" w:fill="FFFFFF"/>
            <w:vAlign w:val="center"/>
          </w:tcPr>
          <w:p w14:paraId="1469FA10"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18</w:t>
            </w:r>
          </w:p>
        </w:tc>
      </w:tr>
      <w:tr w:rsidR="008C0828" w:rsidRPr="008C0828" w14:paraId="3EB27F22"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BFF5A4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9</w:t>
            </w:r>
          </w:p>
        </w:tc>
        <w:tc>
          <w:tcPr>
            <w:tcW w:w="3547" w:type="pct"/>
            <w:tcBorders>
              <w:top w:val="single" w:sz="4" w:space="0" w:color="auto"/>
              <w:left w:val="single" w:sz="4" w:space="0" w:color="auto"/>
            </w:tcBorders>
            <w:shd w:val="clear" w:color="auto" w:fill="FFFFFF"/>
            <w:vAlign w:val="center"/>
          </w:tcPr>
          <w:p w14:paraId="0E37B1B6"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Chuyên viên và các chức danh tương đương thuộc địa phương (bao gồm cả công chức cấp xã).</w:t>
            </w:r>
          </w:p>
        </w:tc>
        <w:tc>
          <w:tcPr>
            <w:tcW w:w="1010" w:type="pct"/>
            <w:tcBorders>
              <w:top w:val="single" w:sz="4" w:space="0" w:color="auto"/>
              <w:left w:val="single" w:sz="4" w:space="0" w:color="auto"/>
              <w:right w:val="single" w:sz="4" w:space="0" w:color="auto"/>
            </w:tcBorders>
            <w:shd w:val="clear" w:color="auto" w:fill="FFFFFF"/>
            <w:vAlign w:val="center"/>
          </w:tcPr>
          <w:p w14:paraId="09A94B1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15</w:t>
            </w:r>
          </w:p>
        </w:tc>
      </w:tr>
      <w:tr w:rsidR="008C0828" w:rsidRPr="008C0828" w14:paraId="2A319E1D" w14:textId="77777777" w:rsidTr="00421F94">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14:paraId="60C403A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c>
          <w:tcPr>
            <w:tcW w:w="3547" w:type="pct"/>
            <w:tcBorders>
              <w:top w:val="single" w:sz="4" w:space="0" w:color="auto"/>
              <w:left w:val="single" w:sz="4" w:space="0" w:color="auto"/>
              <w:bottom w:val="single" w:sz="4" w:space="0" w:color="auto"/>
            </w:tcBorders>
            <w:shd w:val="clear" w:color="auto" w:fill="FFFFFF"/>
            <w:vAlign w:val="center"/>
          </w:tcPr>
          <w:p w14:paraId="5ACD28BC"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Cá nhân ký hợp đồng lao động theo quy định của Chính phủ về hợp đồng đối với một số loại công việc trong cơ quan hành chính, đơn vị sự nghiệp công lập.</w:t>
            </w: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14:paraId="0BA092E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r>
    </w:tbl>
    <w:p w14:paraId="4C8B765B" w14:textId="77777777" w:rsidR="00595B3B" w:rsidRPr="008C0828" w:rsidRDefault="00595B3B" w:rsidP="00AB0162">
      <w:pPr>
        <w:adjustRightInd w:val="0"/>
        <w:snapToGrid w:val="0"/>
        <w:rPr>
          <w:rFonts w:ascii="Arial" w:hAnsi="Arial" w:cs="Arial"/>
          <w:color w:val="000000" w:themeColor="text1"/>
          <w:sz w:val="20"/>
          <w:szCs w:val="20"/>
        </w:rPr>
      </w:pPr>
    </w:p>
    <w:p w14:paraId="1D486743"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i/>
          <w:iCs/>
          <w:color w:val="000000" w:themeColor="text1"/>
          <w:sz w:val="20"/>
          <w:szCs w:val="20"/>
        </w:rPr>
        <w:t>Ghi chú:</w:t>
      </w:r>
    </w:p>
    <w:p w14:paraId="7DAE45E2" w14:textId="044BD66D" w:rsidR="00595B3B" w:rsidRPr="008C0828" w:rsidRDefault="00AB0162" w:rsidP="00AB0162">
      <w:pPr>
        <w:adjustRightInd w:val="0"/>
        <w:snapToGrid w:val="0"/>
        <w:spacing w:after="120"/>
        <w:ind w:firstLine="720"/>
        <w:jc w:val="both"/>
        <w:rPr>
          <w:rFonts w:ascii="Arial" w:hAnsi="Arial" w:cs="Arial"/>
          <w:color w:val="000000" w:themeColor="text1"/>
          <w:sz w:val="20"/>
          <w:szCs w:val="20"/>
        </w:rPr>
      </w:pPr>
      <w:bookmarkStart w:id="96" w:name="bookmark92"/>
      <w:bookmarkEnd w:id="96"/>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2, STT 3 thì diện tích tối đa nêu trên bao gồm diện tích làm việc, diện tích tiếp khách; ngoài ra các chức danh này được bố trí diện tích cần thiết khác (nếu có) và diện tích này không tính vào tổng diện tích của cơ quan, tổ chức, đơn vị quy định tại khoản 3 Điều 5 Nghị định này.</w:t>
      </w:r>
    </w:p>
    <w:p w14:paraId="21BBF96C" w14:textId="567CA5C4" w:rsidR="00595B3B" w:rsidRPr="008C0828" w:rsidRDefault="00AB0162" w:rsidP="00AB0162">
      <w:pPr>
        <w:adjustRightInd w:val="0"/>
        <w:snapToGrid w:val="0"/>
        <w:spacing w:after="120"/>
        <w:ind w:firstLine="720"/>
        <w:jc w:val="both"/>
        <w:rPr>
          <w:rFonts w:ascii="Arial" w:hAnsi="Arial" w:cs="Arial"/>
          <w:color w:val="000000" w:themeColor="text1"/>
          <w:sz w:val="20"/>
          <w:szCs w:val="20"/>
        </w:rPr>
      </w:pPr>
      <w:bookmarkStart w:id="97" w:name="bookmark93"/>
      <w:bookmarkEnd w:id="97"/>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4 đến STT 6 thì diện tích tối đa nêu trên bao gồm diện tích làm việc, diện tích tiếp khách.</w:t>
      </w:r>
    </w:p>
    <w:p w14:paraId="6338136F" w14:textId="56EDBD35" w:rsidR="000662D7" w:rsidRPr="008C0828" w:rsidRDefault="000662D7" w:rsidP="00AB0162">
      <w:pPr>
        <w:adjustRightInd w:val="0"/>
        <w:snapToGrid w:val="0"/>
        <w:rPr>
          <w:rFonts w:ascii="Arial" w:hAnsi="Arial" w:cs="Arial"/>
          <w:color w:val="000000" w:themeColor="text1"/>
          <w:sz w:val="20"/>
          <w:szCs w:val="20"/>
        </w:rPr>
      </w:pPr>
    </w:p>
    <w:sectPr w:rsidR="000662D7" w:rsidRPr="008C0828" w:rsidSect="00595B3B">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89DA" w14:textId="77777777" w:rsidR="005E0211" w:rsidRDefault="005E0211">
      <w:r>
        <w:separator/>
      </w:r>
    </w:p>
  </w:endnote>
  <w:endnote w:type="continuationSeparator" w:id="0">
    <w:p w14:paraId="1496DD2F" w14:textId="77777777" w:rsidR="005E0211" w:rsidRDefault="005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76D4" w14:textId="77777777" w:rsidR="00FD13D0" w:rsidRDefault="00FD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4ED7" w14:textId="196AB590" w:rsidR="00FD13D0" w:rsidRDefault="00FD13D0">
    <w:pPr>
      <w:pStyle w:val="Footer"/>
    </w:pPr>
    <w:bookmarkStart w:id="75" w:name="_Hlk178258942"/>
    <w:bookmarkStart w:id="76" w:name="_Hlk178258943"/>
    <w:bookmarkStart w:id="77" w:name="_Hlk178322814"/>
    <w:bookmarkStart w:id="78" w:name="_Hlk178322815"/>
    <w:bookmarkEnd w:id="75"/>
    <w:bookmarkEnd w:id="76"/>
    <w:bookmarkEnd w:id="77"/>
    <w:r>
      <w:rPr>
        <w:noProof/>
        <w:lang w:eastAsia="ja-JP"/>
      </w:rPr>
      <w:drawing>
        <wp:inline distT="0" distB="0" distL="0" distR="0" wp14:anchorId="4B805B9B" wp14:editId="747075F9">
          <wp:extent cx="5724525" cy="571500"/>
          <wp:effectExtent l="0" t="0" r="9525" b="0"/>
          <wp:docPr id="68914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71500"/>
                  </a:xfrm>
                  <a:prstGeom prst="rect">
                    <a:avLst/>
                  </a:prstGeom>
                  <a:noFill/>
                  <a:ln>
                    <a:noFill/>
                  </a:ln>
                </pic:spPr>
              </pic:pic>
            </a:graphicData>
          </a:graphic>
        </wp:inline>
      </w:drawing>
    </w:r>
    <w:bookmarkEnd w:id="7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879" w14:textId="77777777" w:rsidR="00FD13D0" w:rsidRDefault="00FD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9221" w14:textId="77777777" w:rsidR="005E0211" w:rsidRDefault="005E0211"/>
  </w:footnote>
  <w:footnote w:type="continuationSeparator" w:id="0">
    <w:p w14:paraId="29AF937B" w14:textId="77777777" w:rsidR="005E0211" w:rsidRDefault="005E0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722" w14:textId="77777777" w:rsidR="00FD13D0" w:rsidRDefault="00FD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D34D" w14:textId="77777777" w:rsidR="00FD13D0" w:rsidRDefault="00FD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B47C" w14:textId="77777777" w:rsidR="00FD13D0" w:rsidRDefault="00FD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EC5"/>
    <w:multiLevelType w:val="multilevel"/>
    <w:tmpl w:val="38FA3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25622"/>
    <w:multiLevelType w:val="multilevel"/>
    <w:tmpl w:val="48F07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00D13"/>
    <w:multiLevelType w:val="multilevel"/>
    <w:tmpl w:val="73ECA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8773E"/>
    <w:multiLevelType w:val="multilevel"/>
    <w:tmpl w:val="9740E7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6430B"/>
    <w:multiLevelType w:val="multilevel"/>
    <w:tmpl w:val="8B12D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F46417"/>
    <w:multiLevelType w:val="multilevel"/>
    <w:tmpl w:val="4600C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75C24"/>
    <w:multiLevelType w:val="multilevel"/>
    <w:tmpl w:val="1302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E3641"/>
    <w:multiLevelType w:val="multilevel"/>
    <w:tmpl w:val="0F20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343F5"/>
    <w:multiLevelType w:val="multilevel"/>
    <w:tmpl w:val="7CDC9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F0FB7"/>
    <w:multiLevelType w:val="multilevel"/>
    <w:tmpl w:val="0624F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F3550"/>
    <w:multiLevelType w:val="multilevel"/>
    <w:tmpl w:val="1528DD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60265"/>
    <w:multiLevelType w:val="multilevel"/>
    <w:tmpl w:val="F90CEE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866029"/>
    <w:multiLevelType w:val="multilevel"/>
    <w:tmpl w:val="BBB0C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846F2"/>
    <w:multiLevelType w:val="multilevel"/>
    <w:tmpl w:val="DDD02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61D99"/>
    <w:multiLevelType w:val="multilevel"/>
    <w:tmpl w:val="47ACF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1402F"/>
    <w:multiLevelType w:val="multilevel"/>
    <w:tmpl w:val="0F963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446A6"/>
    <w:multiLevelType w:val="multilevel"/>
    <w:tmpl w:val="305A6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224ECC"/>
    <w:multiLevelType w:val="multilevel"/>
    <w:tmpl w:val="61B4D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254EF"/>
    <w:multiLevelType w:val="multilevel"/>
    <w:tmpl w:val="2A485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D2675"/>
    <w:multiLevelType w:val="multilevel"/>
    <w:tmpl w:val="14CA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174F"/>
    <w:multiLevelType w:val="multilevel"/>
    <w:tmpl w:val="B96A8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9776C3"/>
    <w:multiLevelType w:val="multilevel"/>
    <w:tmpl w:val="D4CAC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5138FC"/>
    <w:multiLevelType w:val="multilevel"/>
    <w:tmpl w:val="B0F43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D5530F"/>
    <w:multiLevelType w:val="multilevel"/>
    <w:tmpl w:val="6E9A7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030D0"/>
    <w:multiLevelType w:val="multilevel"/>
    <w:tmpl w:val="CDF49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C703B7"/>
    <w:multiLevelType w:val="multilevel"/>
    <w:tmpl w:val="50986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961C45"/>
    <w:multiLevelType w:val="multilevel"/>
    <w:tmpl w:val="7184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EB0869"/>
    <w:multiLevelType w:val="multilevel"/>
    <w:tmpl w:val="A44C8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277800"/>
    <w:multiLevelType w:val="multilevel"/>
    <w:tmpl w:val="C65C55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EF095A"/>
    <w:multiLevelType w:val="multilevel"/>
    <w:tmpl w:val="FCE6C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3A23E9"/>
    <w:multiLevelType w:val="multilevel"/>
    <w:tmpl w:val="CD4ED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DD459A"/>
    <w:multiLevelType w:val="multilevel"/>
    <w:tmpl w:val="AF1AF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4E1011"/>
    <w:multiLevelType w:val="multilevel"/>
    <w:tmpl w:val="06AE8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5A56A3"/>
    <w:multiLevelType w:val="multilevel"/>
    <w:tmpl w:val="CD7CA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42041D"/>
    <w:multiLevelType w:val="multilevel"/>
    <w:tmpl w:val="114CD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07EFE"/>
    <w:multiLevelType w:val="multilevel"/>
    <w:tmpl w:val="3A00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1C37B6"/>
    <w:multiLevelType w:val="multilevel"/>
    <w:tmpl w:val="F6941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FC41F0"/>
    <w:multiLevelType w:val="multilevel"/>
    <w:tmpl w:val="BFD4D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107AAE"/>
    <w:multiLevelType w:val="multilevel"/>
    <w:tmpl w:val="95AC9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367471">
    <w:abstractNumId w:val="15"/>
  </w:num>
  <w:num w:numId="2" w16cid:durableId="1818843293">
    <w:abstractNumId w:val="18"/>
  </w:num>
  <w:num w:numId="3" w16cid:durableId="138960045">
    <w:abstractNumId w:val="29"/>
  </w:num>
  <w:num w:numId="4" w16cid:durableId="1853909360">
    <w:abstractNumId w:val="37"/>
  </w:num>
  <w:num w:numId="5" w16cid:durableId="786512769">
    <w:abstractNumId w:val="6"/>
  </w:num>
  <w:num w:numId="6" w16cid:durableId="260064523">
    <w:abstractNumId w:val="9"/>
  </w:num>
  <w:num w:numId="7" w16cid:durableId="2120683496">
    <w:abstractNumId w:val="10"/>
  </w:num>
  <w:num w:numId="8" w16cid:durableId="976228955">
    <w:abstractNumId w:val="35"/>
  </w:num>
  <w:num w:numId="9" w16cid:durableId="1524124666">
    <w:abstractNumId w:val="27"/>
  </w:num>
  <w:num w:numId="10" w16cid:durableId="1276210327">
    <w:abstractNumId w:val="24"/>
  </w:num>
  <w:num w:numId="11" w16cid:durableId="1111241794">
    <w:abstractNumId w:val="23"/>
  </w:num>
  <w:num w:numId="12" w16cid:durableId="1318875016">
    <w:abstractNumId w:val="20"/>
  </w:num>
  <w:num w:numId="13" w16cid:durableId="1455563358">
    <w:abstractNumId w:val="30"/>
  </w:num>
  <w:num w:numId="14" w16cid:durableId="138041271">
    <w:abstractNumId w:val="3"/>
  </w:num>
  <w:num w:numId="15" w16cid:durableId="1170487143">
    <w:abstractNumId w:val="0"/>
  </w:num>
  <w:num w:numId="16" w16cid:durableId="1245452012">
    <w:abstractNumId w:val="26"/>
  </w:num>
  <w:num w:numId="17" w16cid:durableId="681669063">
    <w:abstractNumId w:val="5"/>
  </w:num>
  <w:num w:numId="18" w16cid:durableId="1320579387">
    <w:abstractNumId w:val="21"/>
  </w:num>
  <w:num w:numId="19" w16cid:durableId="966736031">
    <w:abstractNumId w:val="13"/>
  </w:num>
  <w:num w:numId="20" w16cid:durableId="1568808096">
    <w:abstractNumId w:val="11"/>
  </w:num>
  <w:num w:numId="21" w16cid:durableId="344863707">
    <w:abstractNumId w:val="31"/>
  </w:num>
  <w:num w:numId="22" w16cid:durableId="1350721231">
    <w:abstractNumId w:val="7"/>
  </w:num>
  <w:num w:numId="23" w16cid:durableId="200896489">
    <w:abstractNumId w:val="8"/>
  </w:num>
  <w:num w:numId="24" w16cid:durableId="760101935">
    <w:abstractNumId w:val="33"/>
  </w:num>
  <w:num w:numId="25" w16cid:durableId="2140293566">
    <w:abstractNumId w:val="12"/>
  </w:num>
  <w:num w:numId="26" w16cid:durableId="1080830608">
    <w:abstractNumId w:val="2"/>
  </w:num>
  <w:num w:numId="27" w16cid:durableId="522399081">
    <w:abstractNumId w:val="32"/>
  </w:num>
  <w:num w:numId="28" w16cid:durableId="1046217047">
    <w:abstractNumId w:val="19"/>
  </w:num>
  <w:num w:numId="29" w16cid:durableId="1781217366">
    <w:abstractNumId w:val="34"/>
  </w:num>
  <w:num w:numId="30" w16cid:durableId="960382792">
    <w:abstractNumId w:val="4"/>
  </w:num>
  <w:num w:numId="31" w16cid:durableId="1841239335">
    <w:abstractNumId w:val="14"/>
  </w:num>
  <w:num w:numId="32" w16cid:durableId="1208562729">
    <w:abstractNumId w:val="36"/>
  </w:num>
  <w:num w:numId="33" w16cid:durableId="1866601428">
    <w:abstractNumId w:val="25"/>
  </w:num>
  <w:num w:numId="34" w16cid:durableId="493183716">
    <w:abstractNumId w:val="16"/>
  </w:num>
  <w:num w:numId="35" w16cid:durableId="506986682">
    <w:abstractNumId w:val="17"/>
  </w:num>
  <w:num w:numId="36" w16cid:durableId="881288762">
    <w:abstractNumId w:val="22"/>
  </w:num>
  <w:num w:numId="37" w16cid:durableId="1178234524">
    <w:abstractNumId w:val="1"/>
  </w:num>
  <w:num w:numId="38" w16cid:durableId="1771389369">
    <w:abstractNumId w:val="38"/>
  </w:num>
  <w:num w:numId="39" w16cid:durableId="8388919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D7"/>
    <w:rsid w:val="00023084"/>
    <w:rsid w:val="000415F4"/>
    <w:rsid w:val="000662D7"/>
    <w:rsid w:val="000B6683"/>
    <w:rsid w:val="00124F1D"/>
    <w:rsid w:val="00372787"/>
    <w:rsid w:val="003F6589"/>
    <w:rsid w:val="00421F94"/>
    <w:rsid w:val="00595B3B"/>
    <w:rsid w:val="005E0211"/>
    <w:rsid w:val="006568F0"/>
    <w:rsid w:val="007D4D1E"/>
    <w:rsid w:val="008C0828"/>
    <w:rsid w:val="00AB0162"/>
    <w:rsid w:val="00B6521C"/>
    <w:rsid w:val="00DA0E90"/>
    <w:rsid w:val="00E021A4"/>
    <w:rsid w:val="00E95F99"/>
    <w:rsid w:val="00FB61D7"/>
    <w:rsid w:val="00FD13D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F3D"/>
  <w15:docId w15:val="{9600B5C1-C321-4510-9B58-EA7D8655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paragraph" w:styleId="BodyText">
    <w:name w:val="Body Text"/>
    <w:basedOn w:val="Normal"/>
    <w:link w:val="BodyTextChar"/>
    <w:qFormat/>
    <w:pPr>
      <w:spacing w:after="180" w:line="262" w:lineRule="auto"/>
      <w:ind w:firstLine="400"/>
    </w:pPr>
    <w:rPr>
      <w:rFonts w:ascii="Times New Roman" w:eastAsia="Times New Roman" w:hAnsi="Times New Roman" w:cs="Times New Roman"/>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Other0">
    <w:name w:val="Other"/>
    <w:basedOn w:val="Normal"/>
    <w:link w:val="Other"/>
    <w:pPr>
      <w:spacing w:after="180" w:line="262"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spacing w:line="259" w:lineRule="auto"/>
    </w:pPr>
    <w:rPr>
      <w:rFonts w:ascii="Times New Roman" w:eastAsia="Times New Roman" w:hAnsi="Times New Roman" w:cs="Times New Roman"/>
      <w:b/>
      <w:bCs/>
    </w:rPr>
  </w:style>
  <w:style w:type="table" w:styleId="TableGrid">
    <w:name w:val="Table Grid"/>
    <w:basedOn w:val="TableNormal"/>
    <w:uiPriority w:val="39"/>
    <w:rsid w:val="0059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3D0"/>
    <w:pPr>
      <w:tabs>
        <w:tab w:val="center" w:pos="4513"/>
        <w:tab w:val="right" w:pos="9026"/>
      </w:tabs>
    </w:pPr>
  </w:style>
  <w:style w:type="character" w:customStyle="1" w:styleId="HeaderChar">
    <w:name w:val="Header Char"/>
    <w:basedOn w:val="DefaultParagraphFont"/>
    <w:link w:val="Header"/>
    <w:uiPriority w:val="99"/>
    <w:rsid w:val="00FD13D0"/>
    <w:rPr>
      <w:color w:val="000000"/>
    </w:rPr>
  </w:style>
  <w:style w:type="paragraph" w:styleId="Footer">
    <w:name w:val="footer"/>
    <w:basedOn w:val="Normal"/>
    <w:link w:val="FooterChar"/>
    <w:uiPriority w:val="99"/>
    <w:unhideWhenUsed/>
    <w:rsid w:val="00FD13D0"/>
    <w:pPr>
      <w:tabs>
        <w:tab w:val="center" w:pos="4513"/>
        <w:tab w:val="right" w:pos="9026"/>
      </w:tabs>
    </w:pPr>
  </w:style>
  <w:style w:type="character" w:customStyle="1" w:styleId="FooterChar">
    <w:name w:val="Footer Char"/>
    <w:basedOn w:val="DefaultParagraphFont"/>
    <w:link w:val="Footer"/>
    <w:uiPriority w:val="99"/>
    <w:rsid w:val="00FD13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5014</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155_2025_ND-CP.pdf</vt:lpstr>
    </vt:vector>
  </TitlesOfParts>
  <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155_2025_ND-CP.pdf</dc:title>
  <dc:subject/>
  <cp:keywords/>
  <cp:lastModifiedBy>Windows User</cp:lastModifiedBy>
  <cp:revision>8</cp:revision>
  <dcterms:created xsi:type="dcterms:W3CDTF">2025-06-16T14:03:00Z</dcterms:created>
  <dcterms:modified xsi:type="dcterms:W3CDTF">2025-06-16T15:29:00Z</dcterms:modified>
</cp:coreProperties>
</file>