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page" w:tblpX="1659" w:tblpY="1198"/>
        <w:tblW w:w="9345.0" w:type="dxa"/>
        <w:jc w:val="left"/>
        <w:tblInd w:w="-108.0" w:type="dxa"/>
        <w:tblLayout w:type="fixed"/>
        <w:tblLook w:val="0000"/>
      </w:tblPr>
      <w:tblGrid>
        <w:gridCol w:w="3975"/>
        <w:gridCol w:w="5370"/>
        <w:tblGridChange w:id="0">
          <w:tblGrid>
            <w:gridCol w:w="3975"/>
            <w:gridCol w:w="5370"/>
          </w:tblGrid>
        </w:tblGridChange>
      </w:tblGrid>
      <w:tr>
        <w:trPr>
          <w:cantSplit w:val="0"/>
          <w:tblHeader w:val="0"/>
        </w:trPr>
        <w:tc>
          <w:tcPr>
            <w:vAlign w:val="top"/>
          </w:tcPr>
          <w:p w:rsidR="00000000" w:rsidDel="00000000" w:rsidP="00000000" w:rsidRDefault="00000000" w:rsidRPr="00000000" w14:paraId="00000002">
            <w:pPr>
              <w:tabs>
                <w:tab w:val="center" w:leader="none" w:pos="4680"/>
                <w:tab w:val="right" w:leader="none" w:pos="9360"/>
              </w:tabs>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SỐ: CÔNG TY CỔ PHẦN …</w:t>
            </w:r>
          </w:p>
          <w:p w:rsidR="00000000" w:rsidDel="00000000" w:rsidP="00000000" w:rsidRDefault="00000000" w:rsidRPr="00000000" w14:paraId="00000003">
            <w:pPr>
              <w:tabs>
                <w:tab w:val="center" w:leader="none" w:pos="4680"/>
                <w:tab w:val="right" w:leader="none" w:pos="9360"/>
              </w:tabs>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tc>
        <w:tc>
          <w:tcPr>
            <w:vAlign w:val="top"/>
          </w:tcPr>
          <w:p w:rsidR="00000000" w:rsidDel="00000000" w:rsidP="00000000" w:rsidRDefault="00000000" w:rsidRPr="00000000" w14:paraId="00000004">
            <w:pPr>
              <w:tabs>
                <w:tab w:val="center" w:leader="none" w:pos="4680"/>
                <w:tab w:val="right" w:leader="none" w:pos="9360"/>
              </w:tabs>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CỘNG HÒA XÃ HỘI CHỦ NGHĨA VIỆT NAM</w:t>
            </w:r>
          </w:p>
          <w:p w:rsidR="00000000" w:rsidDel="00000000" w:rsidP="00000000" w:rsidRDefault="00000000" w:rsidRPr="00000000" w14:paraId="00000005">
            <w:pPr>
              <w:tabs>
                <w:tab w:val="center" w:leader="none" w:pos="4680"/>
                <w:tab w:val="right" w:leader="none" w:pos="9360"/>
              </w:tabs>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Độc lập – Tự do – Hạnh Phúc</w:t>
            </w:r>
          </w:p>
          <w:p w:rsidR="00000000" w:rsidDel="00000000" w:rsidP="00000000" w:rsidRDefault="00000000" w:rsidRPr="00000000" w14:paraId="00000006">
            <w:pPr>
              <w:tabs>
                <w:tab w:val="center" w:leader="none" w:pos="4680"/>
                <w:tab w:val="right" w:leader="none" w:pos="9360"/>
              </w:tabs>
              <w:ind w:right="9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-----o0o------</w:t>
            </w:r>
          </w:p>
          <w:p w:rsidR="00000000" w:rsidDel="00000000" w:rsidP="00000000" w:rsidRDefault="00000000" w:rsidRPr="00000000" w14:paraId="00000007">
            <w:pPr>
              <w:tabs>
                <w:tab w:val="center" w:leader="none" w:pos="4680"/>
                <w:tab w:val="right" w:leader="none" w:pos="9360"/>
              </w:tabs>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i w:val="1"/>
                <w:iCs w:val="1"/>
                <w:sz w:val="24"/>
                <w:szCs w:val="24"/>
                <w:vertAlign w:val="baseline"/>
                <w:rtl w:val="0"/>
              </w:rPr>
              <w:t xml:space="preserve">, ngày  …. tháng ….năm </w:t>
            </w:r>
          </w:p>
          <w:p w:rsidR="00000000" w:rsidDel="00000000" w:rsidP="00000000" w:rsidRDefault="00000000" w:rsidRPr="00000000" w14:paraId="00000009">
            <w:pPr>
              <w:tabs>
                <w:tab w:val="center" w:leader="none" w:pos="4680"/>
                <w:tab w:val="right" w:leader="none" w:pos="9360"/>
              </w:tabs>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0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0B">
      <w:pP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QUYẾT ĐỊNH CỦA BAN GIÁM ĐỐC </w:t>
      </w:r>
      <w:r w:rsidDel="00000000" w:rsidR="00000000" w:rsidRPr="00000000">
        <w:rPr>
          <w:rtl w:val="0"/>
        </w:rPr>
      </w:r>
    </w:p>
    <w:p w:rsidR="00000000" w:rsidDel="00000000" w:rsidP="00000000" w:rsidRDefault="00000000" w:rsidRPr="00000000" w14:paraId="0000000C">
      <w:pPr>
        <w:widowControl w:val="0"/>
        <w:tabs>
          <w:tab w:val="left" w:leader="none" w:pos="7040"/>
        </w:tabs>
        <w:spacing w:after="0" w:before="40" w:line="240" w:lineRule="auto"/>
        <w:ind w:left="1577" w:right="1771" w:firstLine="0"/>
        <w:jc w:val="center"/>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VV: ban hành Quy chế tiền lương, tiền thưởng và các chế độ đãi ngộ đối với người lao động, áp dụng từ năm </w:t>
      </w:r>
    </w:p>
    <w:p w:rsidR="00000000" w:rsidDel="00000000" w:rsidP="00000000" w:rsidRDefault="00000000" w:rsidRPr="00000000" w14:paraId="0000000D">
      <w:pPr>
        <w:jc w:val="center"/>
        <w:rPr>
          <w:rFonts w:ascii="Times New Roman" w:cs="Times New Roman" w:eastAsia="Times New Roman" w:hAnsi="Times New Roman"/>
          <w:i w:val="1"/>
          <w:iCs w:val="1"/>
          <w:sz w:val="24"/>
          <w:szCs w:val="24"/>
          <w:vertAlign w:val="baseline"/>
        </w:rPr>
      </w:pPr>
      <w:r w:rsidDel="00000000" w:rsidR="00000000" w:rsidRPr="00000000">
        <w:rPr>
          <w:rtl w:val="0"/>
        </w:rPr>
      </w:r>
    </w:p>
    <w:p w:rsidR="00000000" w:rsidDel="00000000" w:rsidP="00000000" w:rsidRDefault="00000000" w:rsidRPr="00000000" w14:paraId="0000000E">
      <w:pPr>
        <w:pStyle w:val="Heading4"/>
        <w:spacing w:before="0" w:lineRule="auto"/>
        <w:ind w:left="0" w:right="194"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HỘI ĐỒNG QUẢN TRỊ / TỔNG GIÁM ĐỐC CÔNG TY …</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i w:val="1"/>
          <w:iCs w:val="1"/>
          <w:sz w:val="24"/>
          <w:szCs w:val="24"/>
          <w:vertAlign w:val="baseline"/>
        </w:rPr>
      </w:pPr>
      <w:r w:rsidDel="00000000" w:rsidR="00000000" w:rsidRPr="00000000">
        <w:rPr>
          <w:rtl w:val="0"/>
        </w:rPr>
      </w:r>
    </w:p>
    <w:p w:rsidR="00000000" w:rsidDel="00000000" w:rsidP="00000000" w:rsidRDefault="00000000" w:rsidRPr="00000000" w14:paraId="00000010">
      <w:pPr>
        <w:spacing w:before="0" w:line="264" w:lineRule="auto"/>
        <w:ind w:left="143" w:right="341" w:firstLine="77"/>
        <w:jc w:val="left"/>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0"/>
          <w:iCs w:val="0"/>
          <w:sz w:val="24"/>
          <w:szCs w:val="24"/>
          <w:vertAlign w:val="baseline"/>
          <w:rtl w:val="0"/>
        </w:rPr>
        <w:t xml:space="preserve">- Căn cứ Bộ luật Lao động số 45/2019/QH14 và Nghị định số 145/2020/NĐ-CP hướng dẫn thi hành;</w:t>
      </w:r>
    </w:p>
    <w:p w:rsidR="00000000" w:rsidDel="00000000" w:rsidP="00000000" w:rsidRDefault="00000000" w:rsidRPr="00000000" w14:paraId="00000011">
      <w:pPr>
        <w:spacing w:before="20" w:line="264" w:lineRule="auto"/>
        <w:ind w:left="143" w:right="0" w:firstLine="77"/>
        <w:jc w:val="left"/>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0"/>
          <w:iCs w:val="0"/>
          <w:sz w:val="24"/>
          <w:szCs w:val="24"/>
          <w:vertAlign w:val="baseline"/>
          <w:rtl w:val="0"/>
        </w:rPr>
        <w:t xml:space="preserve">- Căn cứ Nghị định số 293/2025/NĐ-CP ngày 10/11/2025 của Chính phủ quy định mức lương tối thiểu vùng.</w:t>
      </w:r>
    </w:p>
    <w:p w:rsidR="00000000" w:rsidDel="00000000" w:rsidP="00000000" w:rsidRDefault="00000000" w:rsidRPr="00000000" w14:paraId="00000012">
      <w:pPr>
        <w:spacing w:before="20" w:line="264" w:lineRule="auto"/>
        <w:ind w:left="143" w:right="122" w:firstLine="77"/>
        <w:jc w:val="left"/>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0"/>
          <w:iCs w:val="0"/>
          <w:sz w:val="24"/>
          <w:szCs w:val="24"/>
          <w:vertAlign w:val="baseline"/>
          <w:rtl w:val="0"/>
        </w:rPr>
        <w:t xml:space="preserve">- Căn cứ Luật Bảo hiểm xã hội số 41/2024/QH15; Luật Thuế thu nhập cá nhân số 109/2025/QH15 và Nghị quyết số 110/2025/UBTVQH15 về mức giảm trừ gia cảnh;</w:t>
      </w:r>
    </w:p>
    <w:p w:rsidR="00000000" w:rsidDel="00000000" w:rsidP="00000000" w:rsidRDefault="00000000" w:rsidRPr="00000000" w14:paraId="00000013">
      <w:pPr>
        <w:spacing w:before="20" w:line="264" w:lineRule="auto"/>
        <w:ind w:left="143" w:right="341" w:firstLine="77"/>
        <w:jc w:val="left"/>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0"/>
          <w:iCs w:val="0"/>
          <w:sz w:val="24"/>
          <w:szCs w:val="24"/>
          <w:vertAlign w:val="baseline"/>
          <w:rtl w:val="0"/>
        </w:rPr>
        <w:t xml:space="preserve">- Căn cứ Nghị định số 253/2026/NĐ-CP ngày 30/6/2026 và Thông tư số 87/2026/TT-BTC ngày 30/6/2026 hướng dẫn Luật Thuế thu nhập cá nhân (hiệu lực từ 01/7/2026);</w:t>
      </w:r>
    </w:p>
    <w:p w:rsidR="00000000" w:rsidDel="00000000" w:rsidP="00000000" w:rsidRDefault="00000000" w:rsidRPr="00000000" w14:paraId="00000014">
      <w:pPr>
        <w:spacing w:before="20" w:lineRule="auto"/>
        <w:ind w:left="379" w:right="0" w:hanging="141"/>
        <w:jc w:val="left"/>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0"/>
          <w:iCs w:val="0"/>
          <w:sz w:val="24"/>
          <w:szCs w:val="24"/>
          <w:vertAlign w:val="baseline"/>
          <w:rtl w:val="0"/>
        </w:rPr>
        <w:t xml:space="preserve">- Căn cứ Luật Doanh nghiệp số 59/2020/QH14 và Điều lệ tổ chức, hoạt động của Côngty;</w:t>
      </w:r>
    </w:p>
    <w:p w:rsidR="00000000" w:rsidDel="00000000" w:rsidP="00000000" w:rsidRDefault="00000000" w:rsidRPr="00000000" w14:paraId="00000015">
      <w:pPr>
        <w:spacing w:before="50" w:lineRule="auto"/>
        <w:ind w:left="379" w:right="0" w:hanging="141"/>
        <w:jc w:val="left"/>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0"/>
          <w:iCs w:val="0"/>
          <w:sz w:val="24"/>
          <w:szCs w:val="24"/>
          <w:vertAlign w:val="baseline"/>
          <w:rtl w:val="0"/>
        </w:rPr>
        <w:t xml:space="preserve">- Căn cứ Biên bản họp Hội đồng quản trị ngày …, đề nghị của Trưởngphòng Hành chính – Nhân sự.</w:t>
      </w:r>
    </w:p>
    <w:p w:rsidR="00000000" w:rsidDel="00000000" w:rsidP="00000000" w:rsidRDefault="00000000" w:rsidRPr="00000000" w14:paraId="00000016">
      <w:pPr>
        <w:spacing w:before="0" w:line="264" w:lineRule="auto"/>
        <w:ind w:left="143" w:right="341" w:firstLine="77"/>
        <w:jc w:val="left"/>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0"/>
          <w:iCs w:val="0"/>
          <w:sz w:val="24"/>
          <w:szCs w:val="24"/>
          <w:vertAlign w:val="baseline"/>
          <w:rtl w:val="0"/>
        </w:rPr>
        <w:t xml:space="preserve">- Căn cứ tình hình thực tế tổ chức sản xuất kinh doanh, tổ chức lao động của Công 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0"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QUYẾT ĐỊNH</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9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64" w:lineRule="auto"/>
        <w:ind w:left="143"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Ban hành kèm theo Quyết định này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64" w:lineRule="auto"/>
        <w:ind w:left="143"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Quyết định này có hiệu lực thi hành kể từ ngày 01/01/2026. Các quy định trước đây trái với Quy chế này đều bãi bỏ.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64" w:lineRule="auto"/>
        <w:ind w:left="143"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5840" w:w="12240" w:orient="portrait"/>
          <w:pgMar w:bottom="920" w:top="1380" w:left="1440" w:right="1340" w:header="0" w:footer="730"/>
          <w:pgNumType w:start="1"/>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Trưởng phòng Hành chính – Nhân sự, Kế toán trưởng, Trưởng các phòng/ban và toàn thể người lao động chịu trách nhiệm thi hành Quyết định này.</w:t>
      </w:r>
    </w:p>
    <w:p w:rsidR="00000000" w:rsidDel="00000000" w:rsidP="00000000" w:rsidRDefault="00000000" w:rsidRPr="00000000" w14:paraId="0000001E">
      <w:pPr>
        <w:spacing w:before="180" w:lineRule="auto"/>
        <w:ind w:left="1647" w:right="0" w:firstLine="0"/>
        <w:jc w:val="center"/>
        <w:rPr>
          <w:rFonts w:ascii="Times New Roman" w:cs="Times New Roman" w:eastAsia="Times New Roman" w:hAnsi="Times New Roman"/>
          <w:b w:val="1"/>
          <w:bCs w:val="1"/>
          <w:i w:val="1"/>
          <w:iCs w:val="1"/>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Nơi nhận:</w:t>
      </w:r>
    </w:p>
    <w:p w:rsidR="00000000" w:rsidDel="00000000" w:rsidP="00000000" w:rsidRDefault="00000000" w:rsidRPr="00000000" w14:paraId="0000001F">
      <w:pPr>
        <w:spacing w:before="0" w:lineRule="auto"/>
        <w:ind w:left="1647" w:right="0" w:firstLine="0"/>
        <w:jc w:val="both"/>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 Như Điều 3;</w:t>
      </w:r>
    </w:p>
    <w:p w:rsidR="00000000" w:rsidDel="00000000" w:rsidP="00000000" w:rsidRDefault="00000000" w:rsidRPr="00000000" w14:paraId="00000020">
      <w:pPr>
        <w:spacing w:before="0" w:lineRule="auto"/>
        <w:ind w:left="1647" w:right="0" w:firstLine="0"/>
        <w:jc w:val="center"/>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 Lưu: VT, HCNS.</w:t>
      </w:r>
    </w:p>
    <w:p w:rsidR="00000000" w:rsidDel="00000000" w:rsidP="00000000" w:rsidRDefault="00000000" w:rsidRPr="00000000" w14:paraId="00000021">
      <w:pPr>
        <w:spacing w:before="180" w:lineRule="auto"/>
        <w:ind w:left="1687" w:right="1051" w:firstLine="0"/>
        <w:jc w:val="center"/>
        <w:rPr>
          <w:rFonts w:ascii="Times New Roman" w:cs="Times New Roman" w:eastAsia="Times New Roman" w:hAnsi="Times New Roman"/>
          <w:b w:val="1"/>
          <w:bCs w:val="1"/>
          <w:sz w:val="24"/>
          <w:szCs w:val="24"/>
          <w:vertAlign w:val="baseline"/>
        </w:rPr>
      </w:pPr>
      <w:r w:rsidDel="00000000" w:rsidR="00000000" w:rsidRPr="00000000">
        <w:br w:type="column"/>
      </w:r>
      <w:r w:rsidDel="00000000" w:rsidR="00000000" w:rsidRPr="00000000">
        <w:rPr>
          <w:rFonts w:ascii="Times New Roman" w:cs="Times New Roman" w:eastAsia="Times New Roman" w:hAnsi="Times New Roman"/>
          <w:b w:val="1"/>
          <w:bCs w:val="1"/>
          <w:sz w:val="24"/>
          <w:szCs w:val="24"/>
          <w:vertAlign w:val="baseline"/>
          <w:rtl w:val="0"/>
        </w:rPr>
        <w:t xml:space="preserve">TM. HỘI ĐỒNG QUẢN TRỊ CHỦ TỊCH</w:t>
      </w:r>
    </w:p>
    <w:p w:rsidR="00000000" w:rsidDel="00000000" w:rsidP="00000000" w:rsidRDefault="00000000" w:rsidRPr="00000000" w14:paraId="00000022">
      <w:pPr>
        <w:spacing w:before="60" w:lineRule="auto"/>
        <w:ind w:left="634" w:right="0" w:firstLine="0"/>
        <w:jc w:val="center"/>
        <w:rPr>
          <w:rFonts w:ascii="Times New Roman" w:cs="Times New Roman" w:eastAsia="Times New Roman" w:hAnsi="Times New Roman"/>
          <w:i w:val="1"/>
          <w:iCs w:val="1"/>
          <w:sz w:val="24"/>
          <w:szCs w:val="24"/>
          <w:vertAlign w:val="baseline"/>
        </w:rPr>
        <w:sectPr>
          <w:type w:val="continuous"/>
          <w:pgSz w:h="15840" w:w="12240" w:orient="portrait"/>
          <w:pgMar w:bottom="920" w:top="1160" w:left="1440" w:right="1080" w:header="0" w:footer="730"/>
          <w:cols w:equalWidth="0" w:num="2">
            <w:col w:space="652" w:w="4534"/>
            <w:col w:space="0" w:w="4534"/>
          </w:cols>
        </w:sectPr>
      </w:pPr>
      <w:r w:rsidDel="00000000" w:rsidR="00000000" w:rsidRPr="00000000">
        <w:rPr>
          <w:rFonts w:ascii="Times New Roman" w:cs="Times New Roman" w:eastAsia="Times New Roman" w:hAnsi="Times New Roman"/>
          <w:i w:val="1"/>
          <w:iCs w:val="1"/>
          <w:sz w:val="24"/>
          <w:szCs w:val="24"/>
          <w:vertAlign w:val="baseline"/>
          <w:rtl w:val="0"/>
        </w:rPr>
        <w:t xml:space="preserve">(Ký, ghi rõ họ tên, đóng dấu)</w:t>
      </w:r>
    </w:p>
    <w:p w:rsidR="00000000" w:rsidDel="00000000" w:rsidP="00000000" w:rsidRDefault="00000000" w:rsidRPr="00000000" w14:paraId="00000023">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4">
      <w:pPr>
        <w:spacing w:after="120" w:before="120" w:lineRule="auto"/>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CHƯƠNG 1. NHỮNG QUY ĐỊNH CHUNG</w:t>
      </w:r>
      <w:r w:rsidDel="00000000" w:rsidR="00000000" w:rsidRPr="00000000">
        <w:rPr>
          <w:rtl w:val="0"/>
        </w:rPr>
      </w:r>
    </w:p>
    <w:p w:rsidR="00000000" w:rsidDel="00000000" w:rsidP="00000000" w:rsidRDefault="00000000" w:rsidRPr="00000000" w14:paraId="00000025">
      <w:pPr>
        <w:spacing w:after="120" w:before="120" w:lineRule="auto"/>
        <w:rPr>
          <w:rFonts w:ascii="Times New Roman" w:cs="Times New Roman" w:eastAsia="Times New Roman" w:hAnsi="Times New Roman"/>
          <w:b w:val="0"/>
          <w:bCs w:val="0"/>
          <w:sz w:val="32"/>
          <w:szCs w:val="32"/>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Quy định thống nhất, công khai các khoản thu nhập mà người lao động được nhận; nguyên tắc, phương pháp và mức hưởng tiền lương, phụ cấp, tiền thưởng và các chế độ đãi ngộ khi làm việc tại Công 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2"/>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Gắn tiền lương, tiền thưởng với năng suất, chất lượng, hiệu quả công việc và mức độ đóng góp của từng cá nhân, bộ phận vào kết quả sản xuất – kinh doanh; khuyến khích người lao động nâng cao trình độ và gắn bó lâu dài.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Bảo đảm tính công khai, minh bạch, công bằng, hợp pháp; tuân thủ đầy đủ quy định của pháp luật về lao động, bảo hiểm và thuế.</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2"/>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Là căn cứ để Công ty xây dựng quỹ tiền lương, lập kế hoạch chi phí, thực hiện nghĩa vụ với người lao động và cơ quan nhà nước; là cơ sở giải quyết các tranh chấp liên quan đến tiền lương, tiền thưởng.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Quy chế này điều chỉnh việc hình thành, quản lý, phân phối quỹ tiền lương, tiền thưởng và thực hiện các chế độ phụ cấp, hỗ trợ, phúc lợi đối với người lao động tại Công Ty …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8"/>
        </w:tabs>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Toàn thể người lao động làm việc theo hợp đồng lao động tại Công ty, bao gồm cả người lao động đang trong thời gian thử việc.</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8"/>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lao động làm việc theo hợp đồng khoán việc, hợp đồng có thời hạn dưới 01 tháng, lao động thời vụ áp dụng theo thỏa thuận cụ thể tại hợp đồng, bảo đảm không trái với Quy chế này và quy định của pháp luật.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9"/>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Thành viên Hội đồng quản trị, Ban Tổng Giám đốc hưởng lương, thù lao theo quyết định riêng của Đại hội đồng cổ đông/Hội đồng quản trị, có thể vận dụng các nguyên tắc của Quy chế này.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144" w:right="3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Tiền lương được trả trên cơ sở thỏa thuận trong hợp đồng lao động nhưng không thấp hơn mức lương tối thiểu vùng và mức quy định tại thang, bảng lương của Công ty.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Phân phối tiền lương theo nguyên tắc làm công việc gì, giữ chức danh gì thì hưởng lương theo công việc, chức danh đó; làm nhiều hưởng nhiều, làm ít hưởng ít, có năng suất - chất lượng -  hiệu quả cao thì được hưởng cao.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Bảo đảm bình đẳng, không phân biệt giới tính, dân tộc, tín ngưỡng đối với người lao động làm công việc có giá trị như nhau.</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Quỹ tiền lương, tiền thưởng được sử dụng đúng mục đích, công khai, gắn với kết quả sản xuất - kinh doanh; không sử dụng quỹ tiền lương vào mục đích khác.</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7"/>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Lương chính (lương cơ bản): mức lương trả cho người lao động làm việc trong điều kiện bình thường theo thời gian làm việc thực tế, xác định theo chức danh tại thang, bảng lương của Công ty và không thấp hơn mức lương tối thiểu vùng.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63"/>
        </w:tabs>
        <w:spacing w:after="0" w:before="0" w:line="288" w:lineRule="auto"/>
        <w:ind w:left="144" w:right="3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Tiền lương làm căn cứ đóng bảo hiểm xã hội: mức lương, phụ cấp lương và các khoản bổ sung khác xác định được mức tiền cụ thể, có tính chất cố định, ghi trong hợp đồng lao động theo Luật Bảo hiểm xã hội số 41/2024/QH15.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4"/>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Lương thử việc: tiền lương trong thời gian thử việc, do hai bên thỏa thuận nhưng ít nhất bằng 85% mức lương của công việc đó (Điều 26 Bộ luật Lao động).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4"/>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Lương khoán: tiền lương trả theo khối lượng, chất lượng công việc và thời gian phải hoàn thành đối với công việc có tính thời vụ, vụ việc.</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56"/>
        </w:tabs>
        <w:spacing w:after="0" w:before="0" w:line="288" w:lineRule="auto"/>
        <w:ind w:left="144"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Lương hiệu quả (lương KPI): phần thu nhập gắn với kết quả đánh giá hoàn thành công việc theo bộ tiêu chí KPI.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Ngày công chuẩn: số ngày làm việc tiêu chuẩn trong tháng do Công ty quy định để tính lương, thống nhất là 26 ngày/tháng.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7"/>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Thu nhập: tổng các khoản người lao động nhận được, gồm tiền lương, phụ cấp, hỗ trợ, tiền thưởng và phúc lợi theo Quy chế.</w:t>
      </w:r>
    </w:p>
    <w:p w:rsidR="00000000" w:rsidDel="00000000" w:rsidP="00000000" w:rsidRDefault="00000000" w:rsidRPr="00000000" w14:paraId="00000039">
      <w:pPr>
        <w:spacing w:after="120" w:before="120" w:lineRule="auto"/>
        <w:jc w:val="lef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A">
      <w:pPr>
        <w:spacing w:after="120" w:before="120" w:lineRule="auto"/>
        <w:ind w:firstLine="567"/>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CHƯƠNG 2: QUY ĐỊNH TRẢ LƯƠNG</w:t>
      </w:r>
      <w:r w:rsidDel="00000000" w:rsidR="00000000" w:rsidRPr="00000000">
        <w:rPr>
          <w:rtl w:val="0"/>
        </w:rPr>
      </w:r>
    </w:p>
    <w:p w:rsidR="00000000" w:rsidDel="00000000" w:rsidP="00000000" w:rsidRDefault="00000000" w:rsidRPr="00000000" w14:paraId="0000003B">
      <w:pPr>
        <w:pStyle w:val="Heading4"/>
        <w:ind w:firstLine="144"/>
        <w:jc w:val="left"/>
        <w:rPr>
          <w:rFonts w:ascii="Times New Roman" w:cs="Times New Roman" w:eastAsia="Times New Roman" w:hAnsi="Times New Roman"/>
          <w:b w:val="1"/>
          <w:bCs w:val="1"/>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Cơ cấu thu nhập của người lao động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1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Thu nhập hằng tháng của người lao động gồm các thành phần:</w:t>
      </w:r>
    </w:p>
    <w:p w:rsidR="00000000" w:rsidDel="00000000" w:rsidP="00000000" w:rsidRDefault="00000000" w:rsidRPr="00000000" w14:paraId="0000003D">
      <w:pPr>
        <w:spacing w:before="179" w:line="288" w:lineRule="auto"/>
        <w:ind w:left="483" w:right="341" w:firstLine="0"/>
        <w:jc w:val="left"/>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Thu nhập = Lương chính (theo chức danh, ngày công) + Phụ cấp, hỗ trợ + Lương hiệu quả/KPI (nếu có) + Tiền thưởng + Phúc lợi.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144" w:right="12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Trong đó, lương chính và phụ cấp lương có tính cố định là căn cứ đóng bảo hiểm bắt buộc; các khoản hỗ trợ, phúc lợi.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4"/>
        </w:tabs>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Mức lương chính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4"/>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Mức lương chính của từng chức danh xác định theo Hệ thống thang, bảng lương, bảo đảm: không thấp hơn mức lương tối thiểu vùng; cao hơn ít nhất 7% đối với người đã qua học nghề, đào tạo so với mức tối thiểu vùng. Từ ngày 01/01/2026, mức lương tối thiểu vùng áp dụng theo Nghị định số 293/2025/NĐ-CP. Áp dụng mức lương tối thiểu 5.310.000 đồng.</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6"/>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Tiền lương tháng đóng BHXH bắt buộc: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6"/>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Thực hiện theo Luật Bảo hiểm xã hội số 41/2024/QH15, gồm: mức lương theo công việc/chức danh, phụ cấp lương và các khoản bổ sung khác xác định được mức tiền cụ thể, có tính cố định, được ghi trong hợp đồng lao động.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6"/>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Các khoản KHÔNG tính vào tiền lương đóng BHXH: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6"/>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Gồm tiền thưởng theo Điều 104 Bộ luật Lao động, tiền thưởng sáng kiến; tiền ăn giữa ca; hỗ trợ xăng xe, điện thoại, đi lại, tiền nhà ở, giữ trẻ – nuôi con nhỏ; hỗ trợ khi người lao động có thân nhân chết, kết hôn, sinh nhật và các khoản hỗ trợ, trợ cấp khác mang tính phúc lợi.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4"/>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Mức tiền lương tháng đóng BHXH bắt buộc</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4"/>
        </w:tabs>
        <w:spacing w:after="0" w:before="0" w:line="288" w:lineRule="auto"/>
        <w:ind w:left="720" w:right="338" w:firstLine="1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Cao nhất bằng 20 lần mức tham chiếu do cơ quan nhà nước có thẩm quyền công bố tại từng thời điểm; mức thấp nhất không thấp hơn mức lương tối thiểu vùng.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Người lao động trong thời gian thử việc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được hưởng tối thiểu 85% mức lương chính thức của công việc đảm nhận. Thời gian thử việc thực hiện theo Điều 25 Bộ luật Lao động: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Không quá 180 ngày với người quản lý doanh nghiệp;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- 60 ngày với chức danh cần trình độ cao đẳng trở lên;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- 30 ngày với trình độ trung cấp;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- 06 ngày với công việc khác.</w:t>
      </w:r>
    </w:p>
    <w:p w:rsidR="00000000" w:rsidDel="00000000" w:rsidP="00000000" w:rsidRDefault="00000000" w:rsidRPr="00000000" w14:paraId="0000004C">
      <w:pPr>
        <w:pStyle w:val="Heading4"/>
        <w:ind w:left="144" w:firstLine="0"/>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Lương khoán</w:t>
      </w:r>
      <w:r w:rsidDel="00000000" w:rsidR="00000000" w:rsidRPr="00000000">
        <w:rPr>
          <w:rFonts w:ascii="Times New Roman" w:cs="Times New Roman" w:eastAsia="Times New Roman" w:hAnsi="Times New Roman"/>
          <w:b w:val="0"/>
          <w:bCs w:val="0"/>
          <w:color w:val="000000"/>
          <w:sz w:val="24"/>
          <w:szCs w:val="24"/>
          <w:vertAlign w:val="baseline"/>
          <w:rtl w:val="0"/>
        </w:rPr>
        <w:t xml:space="preserve">: </w:t>
      </w:r>
      <w:r w:rsidDel="00000000" w:rsidR="00000000" w:rsidRPr="00000000">
        <w:rPr>
          <w:rFonts w:ascii="Times New Roman" w:cs="Times New Roman" w:eastAsia="Times New Roman" w:hAnsi="Times New Roman"/>
          <w:b w:val="0"/>
          <w:bCs w:val="0"/>
          <w:sz w:val="24"/>
          <w:szCs w:val="24"/>
          <w:vertAlign w:val="baseline"/>
          <w:rtl w:val="0"/>
        </w:rPr>
        <w:t xml:space="preserve">Áp dụng cho cá nhân/nhóm trực tiếp thực hiện công việc có tính thời vụ, vụ việc, được giao theo khối lượng và thời gian hoàn thành cụ thể qua hợp đồng khoán việc. Đơn giá khoán do hai bên thỏa thuận, bảo đảm tương ứng mức lương tối thiểu vùng quy đổi theo thời gian thực tế và chất lượng nghiệm thu.</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14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Công ty áp dụng linh hoạt các hình thức trả lương phù hợp với tính chất công việc:</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179" w:line="288" w:lineRule="auto"/>
        <w:ind w:left="220" w:right="339" w:firstLine="35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Trả lương theo thời gian: áp dụng cho khối quản lý, hành chính, nghiệp vụ; tính theo tháng/tuần/ngày/giờ trên cơ sở bảng chấm công.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477" w:right="33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Trả lương theo sản phẩm: áp dụng cho bộ phận trực tiếp sản xuất; tính theo số lượng, chất lượng sản phẩm hoàn thành và đơn giá sản phẩm.</w:t>
      </w:r>
    </w:p>
    <w:p w:rsidR="00000000" w:rsidDel="00000000" w:rsidP="00000000" w:rsidRDefault="00000000" w:rsidRPr="00000000" w14:paraId="00000050">
      <w:pPr>
        <w:spacing w:after="120" w:before="120" w:lineRule="auto"/>
        <w:ind w:left="0" w:firstLine="360"/>
        <w:jc w:val="left"/>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Trả lương khoán: áp dụng theo khối lượng, chất lượng công việc và thời gian hoàn thành.</w:t>
      </w:r>
      <w:r w:rsidDel="00000000" w:rsidR="00000000" w:rsidRPr="00000000">
        <w:rPr>
          <w:rtl w:val="0"/>
        </w:rPr>
      </w:r>
    </w:p>
    <w:p w:rsidR="00000000" w:rsidDel="00000000" w:rsidP="00000000" w:rsidRDefault="00000000" w:rsidRPr="00000000" w14:paraId="00000051">
      <w:pPr>
        <w:pStyle w:val="Heading4"/>
        <w:spacing w:before="60" w:lineRule="auto"/>
        <w:ind w:firstLine="144"/>
        <w:jc w:val="left"/>
        <w:rPr>
          <w:rFonts w:ascii="Times New Roman" w:cs="Times New Roman" w:eastAsia="Times New Roman" w:hAnsi="Times New Roman"/>
          <w:b w:val="1"/>
          <w:bCs w:val="1"/>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9. Ngày công chuẩn và cách tính lương theo thời gian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7"/>
        </w:tabs>
        <w:spacing w:after="0" w:before="80" w:line="288" w:lineRule="auto"/>
        <w:ind w:left="144" w:right="33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Ngày công chuẩn áp dụng thống nhất là 26 ngày/tháng; thời giờ làm việc bình thường không quá 08 giờ/ngày và 48 giờ/tuần.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4"/>
        </w:tabs>
        <w:spacing w:after="0" w:before="0" w:line="240" w:lineRule="auto"/>
        <w:ind w:left="1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Lương thực tế tháng được tính theo công thức:</w:t>
      </w:r>
    </w:p>
    <w:p w:rsidR="00000000" w:rsidDel="00000000" w:rsidP="00000000" w:rsidRDefault="00000000" w:rsidRPr="00000000" w14:paraId="00000054">
      <w:pPr>
        <w:spacing w:before="179" w:line="288" w:lineRule="auto"/>
        <w:ind w:left="483" w:right="341" w:firstLine="0"/>
        <w:jc w:val="left"/>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Lương tháng = (Lương chính + Phụ cấp tính theo ngày công) ÷ 26 × Số ngày công thực tế.</w:t>
      </w:r>
    </w:p>
    <w:p w:rsidR="00000000" w:rsidDel="00000000" w:rsidP="00000000" w:rsidRDefault="00000000" w:rsidRPr="00000000" w14:paraId="00000055">
      <w:pPr>
        <w:spacing w:before="120" w:lineRule="auto"/>
        <w:ind w:left="483" w:right="0" w:firstLine="0"/>
        <w:jc w:val="left"/>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Tiền lương ngày = Lương tháng ÷ 26; Tiền lương giờ = Tiền lương ngày ÷ 8.</w:t>
      </w:r>
    </w:p>
    <w:p w:rsidR="00000000" w:rsidDel="00000000" w:rsidP="00000000" w:rsidRDefault="00000000" w:rsidRPr="00000000" w14:paraId="00000056">
      <w:pPr>
        <w:spacing w:before="120" w:lineRule="auto"/>
        <w:ind w:left="483" w:right="0" w:firstLine="0"/>
        <w:jc w:val="left"/>
        <w:rPr>
          <w:rFonts w:ascii="Times New Roman" w:cs="Times New Roman" w:eastAsia="Times New Roman" w:hAnsi="Times New Roman"/>
          <w:i w:val="1"/>
          <w:iCs w:val="1"/>
          <w:sz w:val="24"/>
          <w:szCs w:val="24"/>
          <w:vertAlign w:val="baseline"/>
        </w:rPr>
      </w:pPr>
      <w:bookmarkStart w:colFirst="0" w:colLast="0" w:name="_heading=h.yhl855uw63wr" w:id="0"/>
      <w:bookmarkEnd w:id="0"/>
      <w:r w:rsidDel="00000000" w:rsidR="00000000" w:rsidRPr="00000000">
        <w:rPr>
          <w:rtl w:val="0"/>
        </w:rPr>
      </w:r>
    </w:p>
    <w:p w:rsidR="00000000" w:rsidDel="00000000" w:rsidP="00000000" w:rsidRDefault="00000000" w:rsidRPr="00000000" w14:paraId="00000057">
      <w:pPr>
        <w:pStyle w:val="Heading1"/>
        <w:ind w:left="626" w:right="819" w:firstLine="0"/>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CHƯƠNG III. PHỤ CẤP, HỖ TRỢ VÀ PHÚC LỢI</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Ngoài lương chính thỏa thuận trong hợp đồng lao động, người lao động còn được hưởng các khoản phụ cấp, hỗ trợ và phúc lợi sau đây:</w:t>
      </w:r>
    </w:p>
    <w:p w:rsidR="00000000" w:rsidDel="00000000" w:rsidP="00000000" w:rsidRDefault="00000000" w:rsidRPr="00000000" w14:paraId="00000059">
      <w:pPr>
        <w:pStyle w:val="Heading4"/>
        <w:ind w:firstLine="144"/>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Các khoản phụ cấp, hỗ trợ</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lao động ký hợp đồng lao động từ đủ 03 tháng trở lên (trừ lao động thời vụ) được hưởng:</w:t>
      </w:r>
    </w:p>
    <w:tbl>
      <w:tblPr>
        <w:tblStyle w:val="Table2"/>
        <w:tblW w:w="9360.0" w:type="dxa"/>
        <w:jc w:val="left"/>
        <w:tblBorders>
          <w:top w:color="aaaaaa" w:space="0" w:sz="4" w:val="single"/>
          <w:left w:color="aaaaaa" w:space="0" w:sz="4" w:val="single"/>
          <w:bottom w:color="aaaaaa" w:space="0" w:sz="4" w:val="single"/>
          <w:right w:color="aaaaaa" w:space="0" w:sz="4" w:val="single"/>
          <w:insideH w:color="aaaaaa" w:space="0" w:sz="4" w:val="single"/>
          <w:insideV w:color="aaaaaa" w:space="0" w:sz="4" w:val="single"/>
        </w:tblBorders>
        <w:tblLayout w:type="fixed"/>
        <w:tblLook w:val="0000"/>
      </w:tblPr>
      <w:tblGrid>
        <w:gridCol w:w="3106"/>
        <w:gridCol w:w="3275"/>
        <w:gridCol w:w="2979"/>
        <w:tblGridChange w:id="0">
          <w:tblGrid>
            <w:gridCol w:w="3106"/>
            <w:gridCol w:w="3275"/>
            <w:gridCol w:w="2979"/>
          </w:tblGrid>
        </w:tblGridChange>
      </w:tblGrid>
      <w:tr>
        <w:trPr>
          <w:cantSplit w:val="0"/>
          <w:trHeight w:val="372" w:hRule="atLeast"/>
          <w:tblHeader w:val="0"/>
        </w:trPr>
        <w:tc>
          <w:tcPr>
            <w:shd w:fill="1f3864" w:val="clea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1014"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4"/>
                <w:szCs w:val="24"/>
                <w:u w:val="none"/>
                <w:shd w:fill="auto" w:val="clear"/>
                <w:vertAlign w:val="baseline"/>
                <w:rtl w:val="0"/>
              </w:rPr>
              <w:t xml:space="preserve">Khoản hỗ trợ</w:t>
            </w:r>
            <w:r w:rsidDel="00000000" w:rsidR="00000000" w:rsidRPr="00000000">
              <w:rPr>
                <w:rtl w:val="0"/>
              </w:rPr>
            </w:r>
          </w:p>
        </w:tc>
        <w:tc>
          <w:tcPr>
            <w:shd w:fill="1f3864" w:val="cle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4"/>
                <w:szCs w:val="24"/>
                <w:u w:val="none"/>
                <w:shd w:fill="auto" w:val="clear"/>
                <w:vertAlign w:val="baseline"/>
                <w:rtl w:val="0"/>
              </w:rPr>
              <w:t xml:space="preserve">Đối tượng</w:t>
            </w:r>
            <w:r w:rsidDel="00000000" w:rsidR="00000000" w:rsidRPr="00000000">
              <w:rPr>
                <w:rtl w:val="0"/>
              </w:rPr>
            </w:r>
          </w:p>
        </w:tc>
        <w:tc>
          <w:tcPr>
            <w:shd w:fill="1f3864" w:val="clea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79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4"/>
                <w:szCs w:val="24"/>
                <w:u w:val="none"/>
                <w:shd w:fill="auto" w:val="clear"/>
                <w:vertAlign w:val="baseline"/>
                <w:rtl w:val="0"/>
              </w:rPr>
              <w:t xml:space="preserve">Mức hưởng</w:t>
            </w:r>
            <w:r w:rsidDel="00000000" w:rsidR="00000000" w:rsidRPr="00000000">
              <w:rPr>
                <w:rtl w:val="0"/>
              </w:rPr>
            </w:r>
          </w:p>
        </w:tc>
      </w:tr>
      <w:tr>
        <w:trPr>
          <w:cantSplit w:val="0"/>
          <w:trHeight w:val="352" w:hRule="atLeast"/>
          <w:tblHeader w:val="0"/>
        </w:trPr>
        <w:tc>
          <w:tcPr>
            <w:shd w:fill="ffffff" w:val="cle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Tiền ăn ca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95250</wp:posOffset>
                      </wp:positionH>
                      <wp:positionV relativeFrom="paragraph">
                        <wp:posOffset>174625</wp:posOffset>
                      </wp:positionV>
                      <wp:extent cx="4229100" cy="230505"/>
                      <wp:effectExtent b="0" l="0" r="0" t="0"/>
                      <wp:wrapNone/>
                      <wp:docPr id="6" name=""/>
                      <a:graphic>
                        <a:graphicData uri="http://schemas.microsoft.com/office/word/2010/wordprocessingGroup">
                          <wpg:wgp>
                            <wpg:cNvGrpSpPr/>
                            <wpg:grpSpPr>
                              <a:xfrm>
                                <a:off x="3231450" y="3664725"/>
                                <a:ext cx="4229100" cy="230505"/>
                                <a:chOff x="3231450" y="3664725"/>
                                <a:chExt cx="4229100" cy="230525"/>
                              </a:xfrm>
                            </wpg:grpSpPr>
                            <wpg:grpSp>
                              <wpg:cNvGrpSpPr/>
                              <wpg:grpSpPr>
                                <a:xfrm>
                                  <a:off x="3231450" y="3664748"/>
                                  <a:ext cx="4229100" cy="230504"/>
                                  <a:chOff x="0" y="0"/>
                                  <a:chExt cx="4229100" cy="230504"/>
                                </a:xfrm>
                              </wpg:grpSpPr>
                              <wps:wsp>
                                <wps:cNvSpPr/>
                                <wps:cNvPr id="3" name="Shape 3"/>
                                <wps:spPr>
                                  <a:xfrm>
                                    <a:off x="0" y="0"/>
                                    <a:ext cx="4229100" cy="2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4229100" cy="230504"/>
                                  </a:xfrm>
                                  <a:custGeom>
                                    <a:rect b="b" l="l" r="r" t="t"/>
                                    <a:pathLst>
                                      <a:path extrusionOk="0" h="230504" w="4229100">
                                        <a:moveTo>
                                          <a:pt x="4229100" y="0"/>
                                        </a:moveTo>
                                        <a:lnTo>
                                          <a:pt x="2095500" y="0"/>
                                        </a:lnTo>
                                        <a:lnTo>
                                          <a:pt x="0" y="0"/>
                                        </a:lnTo>
                                        <a:lnTo>
                                          <a:pt x="0" y="230492"/>
                                        </a:lnTo>
                                        <a:lnTo>
                                          <a:pt x="2095500" y="230492"/>
                                        </a:lnTo>
                                        <a:lnTo>
                                          <a:pt x="4229100" y="230492"/>
                                        </a:lnTo>
                                        <a:lnTo>
                                          <a:pt x="4229100" y="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95250</wp:posOffset>
                      </wp:positionH>
                      <wp:positionV relativeFrom="paragraph">
                        <wp:posOffset>174625</wp:posOffset>
                      </wp:positionV>
                      <wp:extent cx="4229100" cy="230505"/>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229100" cy="230505"/>
                              </a:xfrm>
                              <a:prstGeom prst="rect"/>
                              <a:ln/>
                            </pic:spPr>
                          </pic:pic>
                        </a:graphicData>
                      </a:graphic>
                    </wp:anchor>
                  </w:drawing>
                </mc:Fallback>
              </mc:AlternateContent>
            </w:r>
          </w:p>
        </w:tc>
        <w:tc>
          <w:tcPr>
            <w:shd w:fill="ffffff" w:val="cle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Toàn bộ người lao động</w:t>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45.000 đồng/ngày làm việc</w:t>
            </w:r>
          </w:p>
        </w:tc>
      </w:tr>
      <w:tr>
        <w:trPr>
          <w:cantSplit w:val="0"/>
          <w:trHeight w:val="352" w:hRule="atLeast"/>
          <w:tblHeader w:val="0"/>
        </w:trPr>
        <w:tc>
          <w:tcPr>
            <w:shd w:fill="eaf0f8" w:val="cle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Đồng phục</w:t>
            </w:r>
          </w:p>
        </w:tc>
        <w:tc>
          <w:tcPr>
            <w:shd w:fill="eaf0f8" w:val="clea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Toàn bộ người lao động</w:t>
            </w:r>
          </w:p>
        </w:tc>
        <w:tc>
          <w:tcPr>
            <w:shd w:fill="eaf0f8" w:val="cle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5.000.000 đồng/người/năm</w:t>
            </w:r>
          </w:p>
        </w:tc>
      </w:tr>
      <w:tr>
        <w:trPr>
          <w:cantSplit w:val="0"/>
          <w:trHeight w:val="352" w:hRule="atLeast"/>
          <w:tblHeader w:val="0"/>
        </w:trPr>
        <w:tc>
          <w:tcPr>
            <w:shd w:fill="ffffff" w:val="cle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Sinh nhật</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-3174</wp:posOffset>
                      </wp:positionV>
                      <wp:extent cx="4229100" cy="230505"/>
                      <wp:effectExtent b="0" l="0" r="0" t="0"/>
                      <wp:wrapNone/>
                      <wp:docPr id="5" name=""/>
                      <a:graphic>
                        <a:graphicData uri="http://schemas.microsoft.com/office/word/2010/wordprocessingGroup">
                          <wpg:wgp>
                            <wpg:cNvGrpSpPr/>
                            <wpg:grpSpPr>
                              <a:xfrm>
                                <a:off x="3231450" y="3664725"/>
                                <a:ext cx="4229100" cy="230505"/>
                                <a:chOff x="3231450" y="3664725"/>
                                <a:chExt cx="4229100" cy="230525"/>
                              </a:xfrm>
                            </wpg:grpSpPr>
                            <wpg:grpSp>
                              <wpg:cNvGrpSpPr/>
                              <wpg:grpSpPr>
                                <a:xfrm>
                                  <a:off x="3231450" y="3664748"/>
                                  <a:ext cx="4229100" cy="230506"/>
                                  <a:chOff x="0" y="0"/>
                                  <a:chExt cx="4229100" cy="230506"/>
                                </a:xfrm>
                              </wpg:grpSpPr>
                              <wps:wsp>
                                <wps:cNvSpPr/>
                                <wps:cNvPr id="3" name="Shape 3"/>
                                <wps:spPr>
                                  <a:xfrm>
                                    <a:off x="0" y="0"/>
                                    <a:ext cx="4229100" cy="2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2"/>
                                    <a:ext cx="4229100" cy="230504"/>
                                  </a:xfrm>
                                  <a:custGeom>
                                    <a:rect b="b" l="l" r="r" t="t"/>
                                    <a:pathLst>
                                      <a:path extrusionOk="0" h="230504" w="4229100">
                                        <a:moveTo>
                                          <a:pt x="4229100" y="0"/>
                                        </a:moveTo>
                                        <a:lnTo>
                                          <a:pt x="2095500" y="0"/>
                                        </a:lnTo>
                                        <a:lnTo>
                                          <a:pt x="0" y="0"/>
                                        </a:lnTo>
                                        <a:lnTo>
                                          <a:pt x="0" y="230492"/>
                                        </a:lnTo>
                                        <a:lnTo>
                                          <a:pt x="2095500" y="230492"/>
                                        </a:lnTo>
                                        <a:lnTo>
                                          <a:pt x="4229100" y="230492"/>
                                        </a:lnTo>
                                        <a:lnTo>
                                          <a:pt x="4229100" y="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-3174</wp:posOffset>
                      </wp:positionV>
                      <wp:extent cx="4229100" cy="23050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229100" cy="230505"/>
                              </a:xfrm>
                              <a:prstGeom prst="rect"/>
                              <a:ln/>
                            </pic:spPr>
                          </pic:pic>
                        </a:graphicData>
                      </a:graphic>
                    </wp:anchor>
                  </w:drawing>
                </mc:Fallback>
              </mc:AlternateContent>
            </w:r>
          </w:p>
        </w:tc>
        <w:tc>
          <w:tcPr>
            <w:shd w:fill="ffffff" w:val="cle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Toàn bộ người lao động</w:t>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2" w:hRule="atLeast"/>
          <w:tblHeader w:val="0"/>
        </w:trPr>
        <w:tc>
          <w:tcPr>
            <w:shd w:fill="eaf0f8" w:val="clea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Hỗ trợ xăng xe, đi lại</w:t>
            </w:r>
          </w:p>
        </w:tc>
        <w:tc>
          <w:tcPr>
            <w:shd w:fill="eaf0f8" w:val="cle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Bộ phận quản lý</w:t>
            </w:r>
          </w:p>
        </w:tc>
        <w:tc>
          <w:tcPr>
            <w:shd w:fill="eaf0f8" w:val="cle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30.000 đồng/ ngày làm việc</w:t>
            </w:r>
          </w:p>
        </w:tc>
      </w:tr>
      <w:tr>
        <w:trPr>
          <w:cantSplit w:val="0"/>
          <w:trHeight w:val="352" w:hRule="atLeast"/>
          <w:tblHeader w:val="0"/>
        </w:trPr>
        <w:tc>
          <w:tcPr>
            <w:shd w:fill="ffffff" w:val="cle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Hỗ trợ xăng xe, đi lại</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-3174</wp:posOffset>
                      </wp:positionV>
                      <wp:extent cx="4229100" cy="230505"/>
                      <wp:effectExtent b="0" l="0" r="0" t="0"/>
                      <wp:wrapNone/>
                      <wp:docPr id="8" name=""/>
                      <a:graphic>
                        <a:graphicData uri="http://schemas.microsoft.com/office/word/2010/wordprocessingGroup">
                          <wpg:wgp>
                            <wpg:cNvGrpSpPr/>
                            <wpg:grpSpPr>
                              <a:xfrm>
                                <a:off x="3231450" y="3664725"/>
                                <a:ext cx="4229100" cy="230505"/>
                                <a:chOff x="3231450" y="3664725"/>
                                <a:chExt cx="4229100" cy="230525"/>
                              </a:xfrm>
                            </wpg:grpSpPr>
                            <wpg:grpSp>
                              <wpg:cNvGrpSpPr/>
                              <wpg:grpSpPr>
                                <a:xfrm>
                                  <a:off x="3231450" y="3664748"/>
                                  <a:ext cx="4229100" cy="230508"/>
                                  <a:chOff x="0" y="0"/>
                                  <a:chExt cx="4229100" cy="230508"/>
                                </a:xfrm>
                              </wpg:grpSpPr>
                              <wps:wsp>
                                <wps:cNvSpPr/>
                                <wps:cNvPr id="3" name="Shape 3"/>
                                <wps:spPr>
                                  <a:xfrm>
                                    <a:off x="0" y="0"/>
                                    <a:ext cx="4229100" cy="2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4"/>
                                    <a:ext cx="4229100" cy="230504"/>
                                  </a:xfrm>
                                  <a:custGeom>
                                    <a:rect b="b" l="l" r="r" t="t"/>
                                    <a:pathLst>
                                      <a:path extrusionOk="0" h="230504" w="4229100">
                                        <a:moveTo>
                                          <a:pt x="4229100" y="0"/>
                                        </a:moveTo>
                                        <a:lnTo>
                                          <a:pt x="2095500" y="0"/>
                                        </a:lnTo>
                                        <a:lnTo>
                                          <a:pt x="0" y="0"/>
                                        </a:lnTo>
                                        <a:lnTo>
                                          <a:pt x="0" y="230492"/>
                                        </a:lnTo>
                                        <a:lnTo>
                                          <a:pt x="2095500" y="230492"/>
                                        </a:lnTo>
                                        <a:lnTo>
                                          <a:pt x="4229100" y="230492"/>
                                        </a:lnTo>
                                        <a:lnTo>
                                          <a:pt x="4229100" y="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-3174</wp:posOffset>
                      </wp:positionV>
                      <wp:extent cx="4229100" cy="230505"/>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229100" cy="230505"/>
                              </a:xfrm>
                              <a:prstGeom prst="rect"/>
                              <a:ln/>
                            </pic:spPr>
                          </pic:pic>
                        </a:graphicData>
                      </a:graphic>
                    </wp:anchor>
                  </w:drawing>
                </mc:Fallback>
              </mc:AlternateContent>
            </w:r>
          </w:p>
        </w:tc>
        <w:tc>
          <w:tcPr>
            <w:shd w:fill="ffffff" w:val="cle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Bộ phận sản xuất/nhân viên</w:t>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2" w:hRule="atLeast"/>
          <w:tblHeader w:val="0"/>
        </w:trPr>
        <w:tc>
          <w:tcPr>
            <w:shd w:fill="eaf0f8" w:val="cle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Hỗ trợ điện thoại</w:t>
            </w:r>
          </w:p>
        </w:tc>
        <w:tc>
          <w:tcPr>
            <w:shd w:fill="eaf0f8" w:val="cle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Bộ phận quản lý</w:t>
            </w:r>
          </w:p>
        </w:tc>
        <w:tc>
          <w:tcPr>
            <w:shd w:fill="eaf0f8" w:val="cle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30.000 đồng/ ngày làm việc</w:t>
            </w:r>
          </w:p>
        </w:tc>
      </w:tr>
      <w:tr>
        <w:trPr>
          <w:cantSplit w:val="0"/>
          <w:trHeight w:val="352" w:hRule="atLeast"/>
          <w:tblHeader w:val="0"/>
        </w:trPr>
        <w:tc>
          <w:tcPr>
            <w:shd w:fill="ffffff" w:val="cle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Hỗ trợ điện thoại</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-2539</wp:posOffset>
                      </wp:positionV>
                      <wp:extent cx="2095500" cy="230505"/>
                      <wp:effectExtent b="0" l="0" r="0" t="0"/>
                      <wp:wrapNone/>
                      <wp:docPr id="7" name=""/>
                      <a:graphic>
                        <a:graphicData uri="http://schemas.microsoft.com/office/word/2010/wordprocessingGroup">
                          <wpg:wgp>
                            <wpg:cNvGrpSpPr/>
                            <wpg:grpSpPr>
                              <a:xfrm>
                                <a:off x="4298250" y="3664725"/>
                                <a:ext cx="2095500" cy="230505"/>
                                <a:chOff x="4298250" y="3664725"/>
                                <a:chExt cx="2095500" cy="230525"/>
                              </a:xfrm>
                            </wpg:grpSpPr>
                            <wpg:grpSp>
                              <wpg:cNvGrpSpPr/>
                              <wpg:grpSpPr>
                                <a:xfrm>
                                  <a:off x="4298250" y="3664748"/>
                                  <a:ext cx="2095500" cy="230504"/>
                                  <a:chOff x="0" y="0"/>
                                  <a:chExt cx="2095500" cy="230504"/>
                                </a:xfrm>
                              </wpg:grpSpPr>
                              <wps:wsp>
                                <wps:cNvSpPr/>
                                <wps:cNvPr id="3" name="Shape 3"/>
                                <wps:spPr>
                                  <a:xfrm>
                                    <a:off x="0" y="0"/>
                                    <a:ext cx="2095500" cy="2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2095500" cy="230504"/>
                                  </a:xfrm>
                                  <a:custGeom>
                                    <a:rect b="b" l="l" r="r" t="t"/>
                                    <a:pathLst>
                                      <a:path extrusionOk="0" h="230504" w="2095500">
                                        <a:moveTo>
                                          <a:pt x="2095500" y="0"/>
                                        </a:moveTo>
                                        <a:lnTo>
                                          <a:pt x="0" y="0"/>
                                        </a:lnTo>
                                        <a:lnTo>
                                          <a:pt x="0" y="230491"/>
                                        </a:lnTo>
                                        <a:lnTo>
                                          <a:pt x="2095500" y="230491"/>
                                        </a:lnTo>
                                        <a:lnTo>
                                          <a:pt x="2095500" y="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-2539</wp:posOffset>
                      </wp:positionV>
                      <wp:extent cx="2095500" cy="230505"/>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095500" cy="230505"/>
                              </a:xfrm>
                              <a:prstGeom prst="rect"/>
                              <a:ln/>
                            </pic:spPr>
                          </pic:pic>
                        </a:graphicData>
                      </a:graphic>
                    </wp:anchor>
                  </w:drawing>
                </mc:Fallback>
              </mc:AlternateContent>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Bộ phận sản xuất/nhân viên</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25.000 đồng/ ngày làm việc</w:t>
            </w:r>
          </w:p>
        </w:tc>
      </w:tr>
    </w:tbl>
    <w:p w:rsidR="00000000" w:rsidDel="00000000" w:rsidP="00000000" w:rsidRDefault="00000000" w:rsidRPr="00000000" w14:paraId="00000073">
      <w:pPr>
        <w:pStyle w:val="Heading4"/>
        <w:ind w:left="14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Phụ cấp trách nhiệm, chức vụ</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giữ chức vụ quản lý hoặc đảm nhận công việc đòi hỏi trách nhiệm cao được hưởng phụ cấp trách nhiệm/chức vụ theo quyết định của Tổng Giám đốc, ghi cụ thể trong hợp đồng lao động hoặc quyết định bổ nhiệm. Phụ cấp trách nhiệm có tính cố định được tính vào lương đóng BHXH.</w:t>
      </w:r>
    </w:p>
    <w:p w:rsidR="00000000" w:rsidDel="00000000" w:rsidP="00000000" w:rsidRDefault="00000000" w:rsidRPr="00000000" w14:paraId="00000075">
      <w:pPr>
        <w:pStyle w:val="Heading4"/>
        <w:ind w:left="14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Phụ cấp thâm niên</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lao động gắn bó lâu dài được hưởng phụ cấp thâm niên theo nguyên tắc: đủ 03 năm làm việc liên tục được hưởng phụ cấp thâm niên, mức và cách tính do Công ty quyết định và công bố tại từng thời điểm, nhằm ghi nhận sự đóng góp và khuyến khích người lao động gắn bó.</w:t>
      </w:r>
    </w:p>
    <w:p w:rsidR="00000000" w:rsidDel="00000000" w:rsidP="00000000" w:rsidRDefault="00000000" w:rsidRPr="00000000" w14:paraId="00000077">
      <w:pPr>
        <w:pStyle w:val="Heading4"/>
        <w:ind w:left="14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Công tác phí</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4"/>
        </w:tabs>
        <w:spacing w:after="0" w:before="80" w:line="240" w:lineRule="auto"/>
        <w:ind w:left="14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Phụ cấp lưu trú khi đi công tác:</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40" w:lineRule="auto"/>
        <w:ind w:left="46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Đi và về trong ngày: 300.000 đồng/ngày.</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463" w:right="33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Công tác tại các thành phố lớn (Hải Phòng, TP. Hồ Chí Minh, Đà Nẵng…) và các tỉnh đồng bằng, trung du: 350.000 đồng/ngày.</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40" w:lineRule="auto"/>
        <w:ind w:left="46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Công tác tại vùng núi cao, hải đảo, biên giới, vùng sâu, vùng xa: 500.000 đồng/ngày.</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6"/>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Ngoài phụ cấp lưu trú, người lao động được thanh toán chi phí phương tiện đi lại, tiền thuê chỗ nghỉ theo thực tế phát sinh trên cơ sở chứng từ hợp lệ và mức khoán của Công ty (nếu có).</w:t>
      </w:r>
    </w:p>
    <w:p w:rsidR="00000000" w:rsidDel="00000000" w:rsidP="00000000" w:rsidRDefault="00000000" w:rsidRPr="00000000" w14:paraId="0000007D">
      <w:pPr>
        <w:pStyle w:val="Heading4"/>
        <w:ind w:left="144" w:firstLine="0"/>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Chế độ hiếu, hỉ</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80" w:line="240" w:lineRule="auto"/>
        <w:ind w:left="46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Bản thân người lao động kết hôn: 2.000.000 đồng/lần.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40" w:lineRule="auto"/>
        <w:ind w:left="46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Tứ thân phụ mẫu, vợ/chồng, con của người lao động qua đời: 2.000.000 đồng/lần.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40" w:lineRule="auto"/>
        <w:ind w:left="46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Anh, chị, em ruột của người lao động qua đời: 500.000 đồng/lần.</w:t>
      </w:r>
    </w:p>
    <w:p w:rsidR="00000000" w:rsidDel="00000000" w:rsidP="00000000" w:rsidRDefault="00000000" w:rsidRPr="00000000" w14:paraId="00000081">
      <w:pPr>
        <w:pStyle w:val="Heading4"/>
        <w:spacing w:before="280" w:lineRule="auto"/>
        <w:ind w:left="14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Tham quan, nghỉ mát và phúc lợi khác</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7"/>
        </w:tabs>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Hằng năm, Công ty tổ chức cho người lao động tham quan, nghỉ mát, du lịch tùy theo kết quả kinh doanh; mức chi tối đa 5.000.000 đồng/người/năm.</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4"/>
        </w:tabs>
        <w:spacing w:after="0" w:before="0" w:line="288" w:lineRule="auto"/>
        <w:ind w:left="144"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lao động được thăm hỏi khi ốm đau, thai sản; được tặng quà nhân các dịp lễ, Tết, ngày Quốc tế Phụ nữ 8/3, ngày Phụ nữ Việt Nam 20/10, Tết Trung thu và ngày Quốc tế Thiếu nhi 1/6 cho con người lao động… theo quyết định của Công ty tại từng thời điểm.</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7"/>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Tổng các khoản chi có tính chất phúc lợi chi trực tiếp cho người lao động được khống chế không vượt quá 01 tháng lương bình quân thực tế thực hiện trong năm để được tính vào chi phí được trừ khi xác định thuế thu nhập doanh nghiệp</w:t>
      </w:r>
    </w:p>
    <w:p w:rsidR="00000000" w:rsidDel="00000000" w:rsidP="00000000" w:rsidRDefault="00000000" w:rsidRPr="00000000" w14:paraId="00000085">
      <w:pPr>
        <w:pStyle w:val="Heading4"/>
        <w:ind w:left="14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 Chế độ đối với lao động nữ</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Công ty thực hiện đầy đủ chế độ đối với lao động nữ theo Bộ luật Lao động và Nghị định số 145/2020/NĐ-CP: nghỉ 30 phút/ngày trong thời gian hành kinh; nghỉ 60 phút/ngày khi nuôi con dưới 12 tháng tuổi và vẫn hưởng đủ lương; không sử dụng lao động nữ mang thai từ tháng thứ 7 hoặc nuôi con dưới 12 tháng làm thêm giờ, làm việc ban đêm, đi công tác xa khi không đồng ý.</w:t>
      </w:r>
    </w:p>
    <w:p w:rsidR="00000000" w:rsidDel="00000000" w:rsidP="00000000" w:rsidRDefault="00000000" w:rsidRPr="00000000" w14:paraId="00000087">
      <w:pPr>
        <w:pStyle w:val="Heading4"/>
        <w:ind w:left="14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Lưu ý về thuế đối với phụ cấp, hỗ trợ</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Các khoản phụ cấp, hỗ trợ được xác định tính chất chịu thuế hoặc miễn thuế thu nhập cá nhân theo quy định tại từng thời điểm, cụ thể:</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40" w:lineRule="auto"/>
        <w:ind w:left="21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Tiền ăn giữa ca, ăn trưa chi bằng tiền: miễn thuế đến 1.200.000 đồng/người/tháng. Nghị định 253/2026/NĐ-CP (áp dụng từ 01/7/2026); phần vượt tính vào thu nhập chịu thuế.</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241" w:right="339" w:hanging="21.00000000000001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Hỗ trợ trang phục bằng tiền: miễn thuế và tính chi phí được trừ tối đa 5.000.000 đồng/người/năm.</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241" w:right="339" w:hanging="21.00000000000001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Khoán tiền điện thoại, công tác phí: miễn thuế trong định mức khoán do Công ty quy định phù hợp quy định của pháp luật.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241" w:right="338" w:hanging="21.00000000000001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Phần tiền lương làm thêm giờ, làm việc ban đêm được trả cao hơn so với làm việc ban ngày trong điều kiện bình thường: được miễn thuế thu nhập cá nhân theo quy định.</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241" w:right="340" w:hanging="21.00000000000001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Hỗ trợ xăng xe (đi lại), thuê nhà và các khoản còn lại: tính vào thu nhập chịu thuế thu nhập cá nhân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6dn79v5bpvy"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Trường hợp Công ty sử dụng nhân lực công nghệ cao, công nghệ số theo danh mục của cơ quan có thẩm quyền, người lao động có thể được miễn thuế thu nhập cá nhân trong thời hạn theo quy định tại Nghị định 253/2026/NĐ-CP. Bộ phận Kế toán căn cứ quy định thuế hiện hành để xác định phần thu nhập chịu thuế/miễn thuế và khấu trừ đúng khi tính lương hằng tháng, tránh rủi ro bị xuất toán khi quyết toán thuế.</w:t>
      </w:r>
    </w:p>
    <w:p w:rsidR="00000000" w:rsidDel="00000000" w:rsidP="00000000" w:rsidRDefault="00000000" w:rsidRPr="00000000" w14:paraId="0000008F">
      <w:pPr>
        <w:pStyle w:val="Heading1"/>
        <w:ind w:left="2168" w:right="2361" w:firstLine="0"/>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CHƯƠNG IV. TÍNH VÀ TRẢ LƯƠNG</w:t>
      </w:r>
      <w:r w:rsidDel="00000000" w:rsidR="00000000" w:rsidRPr="00000000">
        <w:rPr>
          <w:rtl w:val="0"/>
        </w:rPr>
      </w:r>
    </w:p>
    <w:p w:rsidR="00000000" w:rsidDel="00000000" w:rsidP="00000000" w:rsidRDefault="00000000" w:rsidRPr="00000000" w14:paraId="00000090">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1. Căn cứ và kỳ tính lương</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Việc tính lương dựa trên bảng chấm công, kết quả thực hiện công việc, kết quả đánh giá KPI và các quyết định liên quan; bảo đảm chính xác về số liệu. Kỳ tính lương theo tháng dương lịch, từ ngày 01 đến ngày cuối cùng của tháng.</w:t>
      </w:r>
    </w:p>
    <w:p w:rsidR="00000000" w:rsidDel="00000000" w:rsidP="00000000" w:rsidRDefault="00000000" w:rsidRPr="00000000" w14:paraId="00000092">
      <w:pPr>
        <w:pStyle w:val="Heading4"/>
        <w:ind w:left="404" w:hanging="26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Thời hạn và hình thức trả lương</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9"/>
        </w:tabs>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Tiền lương được trả 01 lần/tháng vào ngày 15 của tháng kế tiếp. Trường hợp ngày trả lương trùng ngày nghỉ hằng tuần, ngày lễ, tết thì trả vào ngày làm việc liền kề trước đó.</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2"/>
        </w:tabs>
        <w:spacing w:after="0" w:before="0" w:line="288" w:lineRule="auto"/>
        <w:ind w:left="720" w:right="339" w:firstLine="1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Hình thức trả: chuyển khoản vào tài khoản cá nhân của người lao động hoặc trả bằng tiền mặt. </w:t>
      </w:r>
    </w:p>
    <w:p w:rsidR="00000000" w:rsidDel="00000000" w:rsidP="00000000" w:rsidRDefault="00000000" w:rsidRPr="00000000" w14:paraId="00000095">
      <w:pPr>
        <w:pStyle w:val="Heading4"/>
        <w:ind w:left="404" w:hanging="26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Tạm ứng lương</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lao động được tạm ứng tiền lương theo điều kiện do hai bên thỏa thuận và không bị tính lãi. Trường hợp nghỉ hằng năm, người lao động được tạm ứng một khoản tiền ít nhất bằng tiền lương của những ngày nghỉ theo Điều 101 Bộ luật Lao động.</w:t>
      </w:r>
    </w:p>
    <w:p w:rsidR="00000000" w:rsidDel="00000000" w:rsidP="00000000" w:rsidRDefault="00000000" w:rsidRPr="00000000" w14:paraId="00000097">
      <w:pPr>
        <w:pStyle w:val="Heading4"/>
        <w:ind w:left="404" w:hanging="26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Tiền lương làm thêm giờ</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Tiền lương làm thêm giờ tính theo Điều 98 Bộ luật Lao động, trên cơ sở đơn giá tiền lương theo giờ của ngày làm việc bình thường:</w:t>
      </w:r>
    </w:p>
    <w:p w:rsidR="00000000" w:rsidDel="00000000" w:rsidP="00000000" w:rsidRDefault="00000000" w:rsidRPr="00000000" w14:paraId="00000099">
      <w:pPr>
        <w:spacing w:after="120" w:before="120" w:lineRule="auto"/>
        <w:ind w:firstLine="56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Đối với người lao động trả lương theo thời gian, nếu làm thêm ngoài giờ tiêu chuẩn thì doanh nghiệp phải trả lương làm thêm giờ theo cách tính sau:</w:t>
      </w:r>
    </w:p>
    <w:tbl>
      <w:tblPr>
        <w:tblStyle w:val="Table3"/>
        <w:tblW w:w="8995.0" w:type="dxa"/>
        <w:jc w:val="center"/>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1728"/>
        <w:gridCol w:w="540"/>
        <w:gridCol w:w="1620"/>
        <w:gridCol w:w="720"/>
        <w:gridCol w:w="2160"/>
        <w:gridCol w:w="900"/>
        <w:gridCol w:w="1327"/>
        <w:tblGridChange w:id="0">
          <w:tblGrid>
            <w:gridCol w:w="1728"/>
            <w:gridCol w:w="540"/>
            <w:gridCol w:w="1620"/>
            <w:gridCol w:w="720"/>
            <w:gridCol w:w="2160"/>
            <w:gridCol w:w="900"/>
            <w:gridCol w:w="1327"/>
          </w:tblGrid>
        </w:tblGridChange>
      </w:tblGrid>
      <w:tr>
        <w:trPr>
          <w:cantSplit w:val="0"/>
          <w:tblHeader w:val="0"/>
        </w:trPr>
        <w:tc>
          <w:tcPr>
            <w:vAlign w:val="center"/>
          </w:tcPr>
          <w:p w:rsidR="00000000" w:rsidDel="00000000" w:rsidP="00000000" w:rsidRDefault="00000000" w:rsidRPr="00000000" w14:paraId="0000009A">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Tiền lương làm thêm giờ</w:t>
            </w:r>
          </w:p>
        </w:tc>
        <w:tc>
          <w:tcPr>
            <w:vAlign w:val="center"/>
          </w:tcPr>
          <w:p w:rsidR="00000000" w:rsidDel="00000000" w:rsidP="00000000" w:rsidRDefault="00000000" w:rsidRPr="00000000" w14:paraId="0000009B">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vAlign w:val="center"/>
          </w:tcPr>
          <w:p w:rsidR="00000000" w:rsidDel="00000000" w:rsidP="00000000" w:rsidRDefault="00000000" w:rsidRPr="00000000" w14:paraId="0000009C">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Tiền lương giờ thực trả</w:t>
            </w:r>
          </w:p>
        </w:tc>
        <w:tc>
          <w:tcPr>
            <w:vAlign w:val="center"/>
          </w:tcPr>
          <w:p w:rsidR="00000000" w:rsidDel="00000000" w:rsidP="00000000" w:rsidRDefault="00000000" w:rsidRPr="00000000" w14:paraId="0000009D">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w:t>
            </w:r>
          </w:p>
        </w:tc>
        <w:tc>
          <w:tcPr>
            <w:vAlign w:val="center"/>
          </w:tcPr>
          <w:p w:rsidR="00000000" w:rsidDel="00000000" w:rsidP="00000000" w:rsidRDefault="00000000" w:rsidRPr="00000000" w14:paraId="0000009E">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150% hoặc 200% hoặc 300%</w:t>
            </w:r>
          </w:p>
        </w:tc>
        <w:tc>
          <w:tcPr>
            <w:vAlign w:val="center"/>
          </w:tcPr>
          <w:p w:rsidR="00000000" w:rsidDel="00000000" w:rsidP="00000000" w:rsidRDefault="00000000" w:rsidRPr="00000000" w14:paraId="0000009F">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w:t>
            </w:r>
          </w:p>
        </w:tc>
        <w:tc>
          <w:tcPr>
            <w:vAlign w:val="center"/>
          </w:tcPr>
          <w:p w:rsidR="00000000" w:rsidDel="00000000" w:rsidP="00000000" w:rsidRDefault="00000000" w:rsidRPr="00000000" w14:paraId="000000A0">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giờ làm thêm</w:t>
            </w:r>
          </w:p>
        </w:tc>
      </w:tr>
    </w:tbl>
    <w:p w:rsidR="00000000" w:rsidDel="00000000" w:rsidP="00000000" w:rsidRDefault="00000000" w:rsidRPr="00000000" w14:paraId="000000A1">
      <w:pPr>
        <w:spacing w:after="120" w:before="120" w:lineRule="auto"/>
        <w:ind w:firstLine="567"/>
        <w:jc w:val="both"/>
        <w:rPr>
          <w:rFonts w:ascii="Times New Roman" w:cs="Times New Roman" w:eastAsia="Times New Roman" w:hAnsi="Times New Roman"/>
          <w:i w:val="1"/>
          <w:iCs w:val="1"/>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Trong đó:</w:t>
      </w:r>
    </w:p>
    <w:p w:rsidR="00000000" w:rsidDel="00000000" w:rsidP="00000000" w:rsidRDefault="00000000" w:rsidRPr="00000000" w14:paraId="000000A2">
      <w:pPr>
        <w:spacing w:after="120" w:before="120" w:lineRule="auto"/>
        <w:ind w:firstLine="56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Mức 150% áp dụng đối với giờ làm thêm vào ngày thường.</w:t>
      </w:r>
    </w:p>
    <w:p w:rsidR="00000000" w:rsidDel="00000000" w:rsidP="00000000" w:rsidRDefault="00000000" w:rsidRPr="00000000" w14:paraId="000000A3">
      <w:pPr>
        <w:spacing w:after="120" w:before="120" w:lineRule="auto"/>
        <w:ind w:firstLine="56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Mức 200% áp dụng đối với giờ làm thêm vào ngày nghỉ hàng tuần </w:t>
      </w:r>
    </w:p>
    <w:p w:rsidR="00000000" w:rsidDel="00000000" w:rsidP="00000000" w:rsidRDefault="00000000" w:rsidRPr="00000000" w14:paraId="000000A4">
      <w:pPr>
        <w:spacing w:after="120" w:before="120" w:lineRule="auto"/>
        <w:ind w:firstLine="56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Mức 300% áp dụng đối với giờ làm thêm vào ngày lễ, ngày nghỉ có hưởng lương </w:t>
      </w:r>
    </w:p>
    <w:p w:rsidR="00000000" w:rsidDel="00000000" w:rsidP="00000000" w:rsidRDefault="00000000" w:rsidRPr="00000000" w14:paraId="000000A5">
      <w:pPr>
        <w:pStyle w:val="Heading4"/>
        <w:ind w:left="404" w:hanging="26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Tiền lương làm việc vào ban đêm</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6"/>
        </w:tabs>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lao động làm việc vào ban đêm (từ 22 giờ đến 06 giờ sáng hôm sau) được trả thêm ít nhất 30% tiền lương tính theo đơn giá tiền lương hoặc tiền lương thực trả của công việc ngày làm việc bình thường.</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lao động làm thêm giờ vào ban đêm, ngoài việc được trả lương làm thêm và lương làm việc ban đêm, còn được trả thêm 20% tiền lương tính theo đơn giá tiền lương của công việc làm vào ban ngày của ngày làm việc bình thường hoặc của ngày nghỉ, ngày lễ tương ứng.</w:t>
      </w:r>
    </w:p>
    <w:p w:rsidR="00000000" w:rsidDel="00000000" w:rsidP="00000000" w:rsidRDefault="00000000" w:rsidRPr="00000000" w14:paraId="000000A8">
      <w:pPr>
        <w:pStyle w:val="Heading4"/>
        <w:ind w:left="404" w:hanging="26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Những ngày nghỉ được hưởng nguyên lương</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1"/>
        </w:tabs>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Nghỉ lễ, tết theo Điều 112 Bộ luật Lao động (Tết Dương lịch, Tết Âm lịch, Giỗ Tổ Hùng Vương, ngày 30/4, 01/5, Quốc khánh 02/9).</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2"/>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Nghỉ việc riêng hưởng nguyên lương: bản thân kết hôn nghỉ 03 ngày; con đẻ, con nuôi kết hôn nghỉ 01 ngày; cha/mẹ đẻ, cha/mẹ nuôi (cả bên vợ/chồng), vợ/chồng, con đẻ/con nuôi qua đời nghỉ 03 ngày.</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Tiền lương làm căn cứ trả cho ngày nghỉ lễ, tết, nghỉ hằng năm, nghỉ việc riêng có hưởng lương là tiền lương theo hợp đồng lao động tại thời điểm nghỉ.</w:t>
      </w:r>
    </w:p>
    <w:p w:rsidR="00000000" w:rsidDel="00000000" w:rsidP="00000000" w:rsidRDefault="00000000" w:rsidRPr="00000000" w14:paraId="000000AC">
      <w:pPr>
        <w:pStyle w:val="Heading4"/>
        <w:ind w:left="404" w:hanging="26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Nghỉ hằng năm (nghỉ phép)</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lao động làm việc đủ 12 tháng được nghỉ hằng năm hưởng nguyên lương: 12 ngày với điều kiện bình thường; 14 ngày với người chưa thành niên, người khuyết tật, người làm nghề/công việc nặng nhọc, độc hại, nguy hiểm; 16 ngày với nghề/công việc đặc biệt nặng nhọc, độc hại, nguy hiểm. Cứ đủ 05 năm làm việc cho Công ty thì số ngày nghỉ hằng năm được cộng thêm 01 ngày.</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5"/>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làm việc chưa đủ 12 tháng thì số ngày nghỉ hằng năm tính theo tỷ lệ tương ứng với số tháng làm việc.</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4"/>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Khi thôi việc, mất việc mà chưa nghỉ hết phép năm thì được thanh toán tiền lương cho những ngày chưa nghỉ; tiền lương làm căn cứ là tiền lương theo hợp đồng của tháng liền kề trước khi thôi việc.</w:t>
      </w:r>
    </w:p>
    <w:p w:rsidR="00000000" w:rsidDel="00000000" w:rsidP="00000000" w:rsidRDefault="00000000" w:rsidRPr="00000000" w14:paraId="000000B0">
      <w:pPr>
        <w:pStyle w:val="Heading4"/>
        <w:spacing w:before="60" w:lineRule="auto"/>
        <w:ind w:left="404" w:hanging="26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Tiền lương ngừng việc</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994fn361mbbu"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Trường hợp phải ngừng việc, tiền lương ngừng việc thực hiện theo Điều 99 Bộ luật Lao động: nếu do lỗi của Công ty thì người lao động được trả đủ tiền lương theo hợp đồng; nếu do lỗi của người lao động thì người đó không được trả lương; nếu do nguyên nhân khách quan (thiên tai, dịch bệnh, sự cố điện, nước…) thì tiền lương ngừng việc do hai bên thỏa thuận nhưng không thấp hơn mức lương tối thiểu vùng.</w:t>
      </w:r>
    </w:p>
    <w:p w:rsidR="00000000" w:rsidDel="00000000" w:rsidP="00000000" w:rsidRDefault="00000000" w:rsidRPr="00000000" w14:paraId="000000B2">
      <w:pPr>
        <w:pStyle w:val="Heading1"/>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CHƯƠNG V. CHẾ ĐỘ NÂNG LƯƠNG, NÂNG BẬC</w:t>
      </w:r>
      <w:r w:rsidDel="00000000" w:rsidR="00000000" w:rsidRPr="00000000">
        <w:rPr>
          <w:rtl w:val="0"/>
        </w:rPr>
      </w:r>
    </w:p>
    <w:p w:rsidR="00000000" w:rsidDel="00000000" w:rsidP="00000000" w:rsidRDefault="00000000" w:rsidRPr="00000000" w14:paraId="000000B3">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Kỳ xét nâng lương</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Mỗi năm Công ty xét nâng lương 01 lần, thông thường vào tháng 4 hằng năm, trên cơ sở kết quả sản xuất – kinh doanh và kết quả đánh giá công việc (KPI) của năm liền trước.</w:t>
      </w:r>
    </w:p>
    <w:p w:rsidR="00000000" w:rsidDel="00000000" w:rsidP="00000000" w:rsidRDefault="00000000" w:rsidRPr="00000000" w14:paraId="000000B5">
      <w:pPr>
        <w:pStyle w:val="Heading4"/>
        <w:ind w:left="14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Điều kiện và niên hạn</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Đối tượng được xét nâng lương phải đồng thời đáp ứng: đã có đủ niên hạn 02 năm hưởng ở một mức lương kể từ lần xếp lương gần nhất; hoàn thành tốt nhiệm vụ, xếp loại KPI từ loại B trở lên; không bị xử lý kỷ luật lao động trong thời gian xét. Trường hợp có vi phạm thì chưa được xét; năm sau xét lại nếu không tái phạm.</w:t>
      </w:r>
    </w:p>
    <w:p w:rsidR="00000000" w:rsidDel="00000000" w:rsidP="00000000" w:rsidRDefault="00000000" w:rsidRPr="00000000" w14:paraId="000000B7">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3. Mức nâng và thủ tục xét nâng lương</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1"/>
        </w:tabs>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Mức nâng mỗi bậc từ 10% đến 20% mức lương hiện hưởng, tùy kết quả kinh doanh và mức độ hoàn thành công việc; bảo đảm khoảng cách giữa hai bậc liền kề ít nhất 5%.</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Quy trình: Phòng Hành chính – Nhân sự rà soát, lập danh sách đủ điều kiện; Hội đồng lương Công ty họp xét; Tổng Giám đốc/Hội đồng quản trị phê duyệt và ban hành quyết định. Người chưa được nâng lương được giải thích rõ lý do.</w:t>
      </w:r>
    </w:p>
    <w:p w:rsidR="00000000" w:rsidDel="00000000" w:rsidP="00000000" w:rsidRDefault="00000000" w:rsidRPr="00000000" w14:paraId="000000BA">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4. Nâng lương trước thời hạn và điều chỉnh lương</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8"/>
        </w:tabs>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lao động có thành tích đặc biệt xuất sắc, sáng kiến mang lại hiệu quả lớn, hoặc được đề bạt giữ chức vụ cao hơn có thể được xét nâng lương/điều chỉnh lương trước thời hạn.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8"/>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Khi Nhà nước điều chỉnh mức lương tối thiểu vùng hoặc khi cơ cấu tổ chức, chức danh thay đổi, Công ty điều chỉnh lương phù hợp, bảo đảm không thấp hơn mức tối thiểu vùng.</w:t>
      </w:r>
    </w:p>
    <w:p w:rsidR="00000000" w:rsidDel="00000000" w:rsidP="00000000" w:rsidRDefault="00000000" w:rsidRPr="00000000" w14:paraId="000000BD">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5. Hạ bậc lương, kéo dài thời hạn nâng lương</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88" w:lineRule="auto"/>
        <w:ind w:left="144"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814ocqrgey2o"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lao động bị kỷ luật, không hoàn thành nhiệm vụ (xếp loại E) hoặc gây thiệt hại nghiêm trọng có thể bị kéo dài thời hạn nâng lương hoặc xem xét bố trí công việc, chức danh có mức lương phù hợp theo quy định của pháp luật và sau khi trao đổi với người lao động.</w:t>
      </w:r>
    </w:p>
    <w:p w:rsidR="00000000" w:rsidDel="00000000" w:rsidP="00000000" w:rsidRDefault="00000000" w:rsidRPr="00000000" w14:paraId="000000BF">
      <w:pPr>
        <w:pStyle w:val="Heading1"/>
        <w:ind w:left="1006" w:right="0" w:firstLine="0"/>
        <w:jc w:val="left"/>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CHƯƠNG VI. ĐÁNH GIÁ KẾT QUẢ CÔNG VIỆC (KPI)</w:t>
      </w:r>
      <w:r w:rsidDel="00000000" w:rsidR="00000000" w:rsidRPr="00000000">
        <w:rPr>
          <w:rtl w:val="0"/>
        </w:rPr>
      </w:r>
    </w:p>
    <w:p w:rsidR="00000000" w:rsidDel="00000000" w:rsidP="00000000" w:rsidRDefault="00000000" w:rsidRPr="00000000" w14:paraId="000000C0">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Mục đích và chu kỳ đánh giá</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4"/>
        </w:tabs>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Đánh giá kết quả công việc nhằm xác định mức độ hoàn thành nhiệm vụ của từng cá nhân, bộ phận; làm căn cứ trả lương hiệu quả, xét thưởng, nâng lương, đề bạt, đào tạo và bố trí lao động.</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6"/>
        </w:tabs>
        <w:spacing w:after="0" w:before="0" w:line="288" w:lineRule="auto"/>
        <w:ind w:left="144"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Chu kỳ đánh giá: theo tháng hoặc quý đối với lương hiệu quả/KPI; theo năm đối với xét thưởng và nâng lương.</w:t>
      </w:r>
    </w:p>
    <w:p w:rsidR="00000000" w:rsidDel="00000000" w:rsidP="00000000" w:rsidRDefault="00000000" w:rsidRPr="00000000" w14:paraId="000000C3">
      <w:pPr>
        <w:pStyle w:val="Heading4"/>
        <w:ind w:left="14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Tiêu chí và phương pháp đánh giá</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Đánh giá theo bộ tiêu chí KPI gắn với chức danh và mục tiêu công việc, gồm các nhóm: khối lượng – tiến độ công việc; chất lượng – hiệu quả; tuân thủ nội quy – kỷ luật; tinh thần phối hợp và thái độ làm việc. Nội dung chi tiết tại Phụ Lục II.</w:t>
      </w:r>
    </w:p>
    <w:p w:rsidR="00000000" w:rsidDel="00000000" w:rsidP="00000000" w:rsidRDefault="00000000" w:rsidRPr="00000000" w14:paraId="000000C5">
      <w:pPr>
        <w:pStyle w:val="Heading4"/>
        <w:ind w:left="144" w:firstLine="0"/>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Quy trình đánh giá</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80" w:line="240" w:lineRule="auto"/>
        <w:ind w:left="743" w:right="0" w:hanging="2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Bước 1: Cá nhân tự đánh giá theo phiếu KPI</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40" w:lineRule="auto"/>
        <w:ind w:left="743" w:right="0" w:hanging="2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Bước 2: Quản lý trực tiếp đánh giá, trao đổi với người lao động.</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40" w:lineRule="auto"/>
        <w:ind w:left="743" w:right="0" w:hanging="2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Bước 3: Hội đồng/Trưởng bộ phận tổng hợp, rà soát, thống nhất kết quả.</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40" w:lineRule="auto"/>
        <w:ind w:left="743" w:right="0" w:hanging="2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Bước 4: Tổng Giám đốc phê duyệt; kết quả được công bố và lưu hồ sơ nhân sự.</w:t>
      </w:r>
    </w:p>
    <w:p w:rsidR="00000000" w:rsidDel="00000000" w:rsidP="00000000" w:rsidRDefault="00000000" w:rsidRPr="00000000" w14:paraId="000000CA">
      <w:pPr>
        <w:pStyle w:val="Heading4"/>
        <w:spacing w:before="280" w:lineRule="auto"/>
        <w:ind w:left="144" w:firstLine="0"/>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Xếp loại và hệ số áp dụng</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1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Kết quả đánh giá được xếp loại theo thang điểm 100 và áp dụng hệ số lương hiệu quả/thưởng như sau:</w:t>
      </w:r>
    </w:p>
    <w:tbl>
      <w:tblPr>
        <w:tblStyle w:val="Table4"/>
        <w:tblW w:w="9360.0" w:type="dxa"/>
        <w:jc w:val="left"/>
        <w:tblBorders>
          <w:top w:color="aaaaaa" w:space="0" w:sz="4" w:val="single"/>
          <w:left w:color="aaaaaa" w:space="0" w:sz="4" w:val="single"/>
          <w:bottom w:color="aaaaaa" w:space="0" w:sz="4" w:val="single"/>
          <w:right w:color="aaaaaa" w:space="0" w:sz="4" w:val="single"/>
          <w:insideH w:color="aaaaaa" w:space="0" w:sz="4" w:val="single"/>
          <w:insideV w:color="aaaaaa" w:space="0" w:sz="4" w:val="single"/>
        </w:tblBorders>
        <w:tblLayout w:type="fixed"/>
        <w:tblLook w:val="0000"/>
      </w:tblPr>
      <w:tblGrid>
        <w:gridCol w:w="1500"/>
        <w:gridCol w:w="2925"/>
        <w:gridCol w:w="2220"/>
        <w:gridCol w:w="2715"/>
        <w:tblGridChange w:id="0">
          <w:tblGrid>
            <w:gridCol w:w="1500"/>
            <w:gridCol w:w="2925"/>
            <w:gridCol w:w="2220"/>
            <w:gridCol w:w="2715"/>
          </w:tblGrid>
        </w:tblGridChange>
      </w:tblGrid>
      <w:tr>
        <w:trPr>
          <w:cantSplit w:val="0"/>
          <w:trHeight w:val="625" w:hRule="atLeast"/>
          <w:tblHeader w:val="0"/>
        </w:trPr>
        <w:tc>
          <w:tcPr>
            <w:shd w:fill="1f3864" w:val="clea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1" w:line="240" w:lineRule="auto"/>
              <w:ind w:left="36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Xếp loại</w:t>
            </w:r>
          </w:p>
        </w:tc>
        <w:tc>
          <w:tcPr>
            <w:shd w:fill="1f3864" w:val="clea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1" w:line="240" w:lineRule="auto"/>
              <w:ind w:left="6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Mức độ hoàn thành</w:t>
            </w:r>
          </w:p>
        </w:tc>
        <w:tc>
          <w:tcPr>
            <w:shd w:fill="1f3864" w:val="clea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1" w:line="240" w:lineRule="auto"/>
              <w:ind w:left="72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Điểm KPI</w:t>
            </w:r>
          </w:p>
        </w:tc>
        <w:tc>
          <w:tcPr>
            <w:shd w:fill="1f3864" w:val="clea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723" w:right="0" w:hanging="58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Lương KPI</w:t>
            </w:r>
          </w:p>
        </w:tc>
      </w:tr>
      <w:tr>
        <w:trPr>
          <w:cantSplit w:val="0"/>
          <w:trHeight w:val="352" w:hRule="atLeast"/>
          <w:tblHeader w:val="0"/>
        </w:trPr>
        <w:tc>
          <w:tcPr>
            <w:shd w:fill="ffffff" w:val="clea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Loại 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-3174</wp:posOffset>
                      </wp:positionV>
                      <wp:extent cx="2984500" cy="230505"/>
                      <wp:effectExtent b="0" l="0" r="0" t="0"/>
                      <wp:wrapNone/>
                      <wp:docPr id="2" name=""/>
                      <a:graphic>
                        <a:graphicData uri="http://schemas.microsoft.com/office/word/2010/wordprocessingGroup">
                          <wpg:wgp>
                            <wpg:cNvGrpSpPr/>
                            <wpg:grpSpPr>
                              <a:xfrm>
                                <a:off x="3853750" y="3664725"/>
                                <a:ext cx="2984500" cy="230505"/>
                                <a:chOff x="3853750" y="3664725"/>
                                <a:chExt cx="2984500" cy="230525"/>
                              </a:xfrm>
                            </wpg:grpSpPr>
                            <wpg:grpSp>
                              <wpg:cNvGrpSpPr/>
                              <wpg:grpSpPr>
                                <a:xfrm>
                                  <a:off x="3853750" y="3664748"/>
                                  <a:ext cx="2984500" cy="230506"/>
                                  <a:chOff x="0" y="0"/>
                                  <a:chExt cx="2984500" cy="230506"/>
                                </a:xfrm>
                              </wpg:grpSpPr>
                              <wps:wsp>
                                <wps:cNvSpPr/>
                                <wps:cNvPr id="3" name="Shape 3"/>
                                <wps:spPr>
                                  <a:xfrm>
                                    <a:off x="0" y="0"/>
                                    <a:ext cx="2984500" cy="2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2"/>
                                    <a:ext cx="2984500" cy="230504"/>
                                  </a:xfrm>
                                  <a:custGeom>
                                    <a:rect b="b" l="l" r="r" t="t"/>
                                    <a:pathLst>
                                      <a:path extrusionOk="0" h="230504" w="2984500">
                                        <a:moveTo>
                                          <a:pt x="2984487" y="0"/>
                                        </a:moveTo>
                                        <a:lnTo>
                                          <a:pt x="952500" y="0"/>
                                        </a:lnTo>
                                        <a:lnTo>
                                          <a:pt x="0" y="0"/>
                                        </a:lnTo>
                                        <a:lnTo>
                                          <a:pt x="0" y="230492"/>
                                        </a:lnTo>
                                        <a:lnTo>
                                          <a:pt x="952500" y="230492"/>
                                        </a:lnTo>
                                        <a:lnTo>
                                          <a:pt x="2984487" y="230492"/>
                                        </a:lnTo>
                                        <a:lnTo>
                                          <a:pt x="2984487" y="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-3174</wp:posOffset>
                      </wp:positionV>
                      <wp:extent cx="2984500" cy="23050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984500" cy="230505"/>
                              </a:xfrm>
                              <a:prstGeom prst="rect"/>
                              <a:ln/>
                            </pic:spPr>
                          </pic:pic>
                        </a:graphicData>
                      </a:graphic>
                    </wp:anchor>
                  </w:drawing>
                </mc:Fallback>
              </mc:AlternateContent>
            </w:r>
          </w:p>
        </w:tc>
        <w:tc>
          <w:tcPr>
            <w:shd w:fill="ffffff" w:val="clea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Hoàn thành xuất sắc</w:t>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95 - 100 điểm</w:t>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Hưởng 100% Lương KPI</w:t>
            </w:r>
          </w:p>
        </w:tc>
      </w:tr>
      <w:tr>
        <w:trPr>
          <w:cantSplit w:val="0"/>
          <w:trHeight w:val="352" w:hRule="atLeast"/>
          <w:tblHeader w:val="0"/>
        </w:trPr>
        <w:tc>
          <w:tcPr>
            <w:shd w:fill="eaf0f8" w:val="clea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Loại B</w:t>
            </w:r>
          </w:p>
        </w:tc>
        <w:tc>
          <w:tcPr>
            <w:shd w:fill="eaf0f8" w:val="clea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Hoàn thành tốt</w:t>
            </w:r>
          </w:p>
        </w:tc>
        <w:tc>
          <w:tcPr>
            <w:shd w:fill="eaf0f8" w:val="clea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85 – 94 điểm</w:t>
            </w:r>
          </w:p>
        </w:tc>
        <w:tc>
          <w:tcPr>
            <w:shd w:fill="eaf0f8" w:val="clea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Hưởng 90% Lương KPI</w:t>
            </w:r>
          </w:p>
        </w:tc>
      </w:tr>
      <w:tr>
        <w:trPr>
          <w:cantSplit w:val="0"/>
          <w:trHeight w:val="352" w:hRule="atLeast"/>
          <w:tblHeader w:val="0"/>
        </w:trPr>
        <w:tc>
          <w:tcPr>
            <w:shd w:fill="ffffff" w:val="clea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Loại C</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-3174</wp:posOffset>
                      </wp:positionV>
                      <wp:extent cx="2984500" cy="230505"/>
                      <wp:effectExtent b="0" l="0" r="0" t="0"/>
                      <wp:wrapNone/>
                      <wp:docPr id="1" name=""/>
                      <a:graphic>
                        <a:graphicData uri="http://schemas.microsoft.com/office/word/2010/wordprocessingGroup">
                          <wpg:wgp>
                            <wpg:cNvGrpSpPr/>
                            <wpg:grpSpPr>
                              <a:xfrm>
                                <a:off x="3853750" y="3664725"/>
                                <a:ext cx="2984500" cy="230505"/>
                                <a:chOff x="3853750" y="3664725"/>
                                <a:chExt cx="2984500" cy="230525"/>
                              </a:xfrm>
                            </wpg:grpSpPr>
                            <wpg:grpSp>
                              <wpg:cNvGrpSpPr/>
                              <wpg:grpSpPr>
                                <a:xfrm>
                                  <a:off x="3853750" y="3664748"/>
                                  <a:ext cx="2984500" cy="230508"/>
                                  <a:chOff x="0" y="0"/>
                                  <a:chExt cx="2984500" cy="230508"/>
                                </a:xfrm>
                              </wpg:grpSpPr>
                              <wps:wsp>
                                <wps:cNvSpPr/>
                                <wps:cNvPr id="3" name="Shape 3"/>
                                <wps:spPr>
                                  <a:xfrm>
                                    <a:off x="0" y="0"/>
                                    <a:ext cx="2984500" cy="2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4"/>
                                    <a:ext cx="2984500" cy="230504"/>
                                  </a:xfrm>
                                  <a:custGeom>
                                    <a:rect b="b" l="l" r="r" t="t"/>
                                    <a:pathLst>
                                      <a:path extrusionOk="0" h="230504" w="2984500">
                                        <a:moveTo>
                                          <a:pt x="2984487" y="0"/>
                                        </a:moveTo>
                                        <a:lnTo>
                                          <a:pt x="952500" y="0"/>
                                        </a:lnTo>
                                        <a:lnTo>
                                          <a:pt x="0" y="0"/>
                                        </a:lnTo>
                                        <a:lnTo>
                                          <a:pt x="0" y="230492"/>
                                        </a:lnTo>
                                        <a:lnTo>
                                          <a:pt x="952500" y="230492"/>
                                        </a:lnTo>
                                        <a:lnTo>
                                          <a:pt x="2984487" y="230492"/>
                                        </a:lnTo>
                                        <a:lnTo>
                                          <a:pt x="2984487" y="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-3174</wp:posOffset>
                      </wp:positionV>
                      <wp:extent cx="2984500" cy="23050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984500" cy="230505"/>
                              </a:xfrm>
                              <a:prstGeom prst="rect"/>
                              <a:ln/>
                            </pic:spPr>
                          </pic:pic>
                        </a:graphicData>
                      </a:graphic>
                    </wp:anchor>
                  </w:drawing>
                </mc:Fallback>
              </mc:AlternateContent>
            </w:r>
          </w:p>
        </w:tc>
        <w:tc>
          <w:tcPr>
            <w:shd w:fill="ffffff" w:val="clea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Đạt yêu cầu</w:t>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70 – 84 điểm</w:t>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Hưởng 80% Lương KPI.</w:t>
            </w:r>
          </w:p>
        </w:tc>
      </w:tr>
      <w:tr>
        <w:trPr>
          <w:cantSplit w:val="0"/>
          <w:trHeight w:val="352" w:hRule="atLeast"/>
          <w:tblHeader w:val="0"/>
        </w:trPr>
        <w:tc>
          <w:tcPr>
            <w:shd w:fill="eaf0f8" w:val="clea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Loại D</w:t>
            </w:r>
          </w:p>
        </w:tc>
        <w:tc>
          <w:tcPr>
            <w:shd w:fill="eaf0f8" w:val="clea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Cần cố gắng</w:t>
            </w:r>
          </w:p>
        </w:tc>
        <w:tc>
          <w:tcPr>
            <w:shd w:fill="eaf0f8" w:val="clea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 – 69 điểm</w:t>
            </w:r>
          </w:p>
        </w:tc>
        <w:tc>
          <w:tcPr>
            <w:shd w:fill="eaf0f8" w:val="clea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Hưởng 60% Lương KPI</w:t>
            </w:r>
          </w:p>
        </w:tc>
      </w:tr>
      <w:tr>
        <w:trPr>
          <w:cantSplit w:val="0"/>
          <w:trHeight w:val="427" w:hRule="atLeast"/>
          <w:tblHeader w:val="0"/>
        </w:trPr>
        <w:tc>
          <w:tcPr>
            <w:shd w:fill="eaf0f8" w:val="clea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Loại E</w:t>
            </w:r>
          </w:p>
        </w:tc>
        <w:tc>
          <w:tcPr>
            <w:shd w:fill="eaf0f8" w:val="clea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Không đạt</w:t>
            </w:r>
          </w:p>
        </w:tc>
        <w:tc>
          <w:tcPr>
            <w:shd w:fill="eaf0f8" w:val="clea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Dưới 50 điểm</w:t>
            </w:r>
          </w:p>
        </w:tc>
        <w:tc>
          <w:tcPr>
            <w:shd w:fill="eaf0f8" w:val="clear"/>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Hưởng 0% Lương KPI</w:t>
            </w:r>
          </w:p>
        </w:tc>
      </w:tr>
    </w:tbl>
    <w:p w:rsidR="00000000" w:rsidDel="00000000" w:rsidP="00000000" w:rsidRDefault="00000000" w:rsidRPr="00000000" w14:paraId="000000E4">
      <w:pPr>
        <w:spacing w:after="120" w:before="120" w:lineRule="auto"/>
        <w:ind w:firstLine="567"/>
        <w:jc w:val="left"/>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E5">
      <w:pPr>
        <w:pStyle w:val="Heading4"/>
        <w:spacing w:before="60" w:lineRule="auto"/>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5. Sử dụng kết quả đánh giá</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tr2dppnf42g"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Kết quả xếp loại KPI là căn cứ để: xác định lương hiệu quả hằng tháng/quý; xét thưởng cuối năm và lương tháng 13; xét nâng lương, đề bạt; xét khen thưởng hoặc xem xét trách nhiệm. Người lao động có quyền kiến nghị, giải trình về kết quả đánh giá của mình.</w:t>
      </w:r>
    </w:p>
    <w:p w:rsidR="00000000" w:rsidDel="00000000" w:rsidP="00000000" w:rsidRDefault="00000000" w:rsidRPr="00000000" w14:paraId="000000E7">
      <w:pPr>
        <w:pStyle w:val="Heading1"/>
        <w:ind w:left="2168" w:right="2361" w:firstLine="0"/>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CHƯƠNG VII. CHẾ ĐỘ THƯỞNG</w:t>
      </w:r>
      <w:r w:rsidDel="00000000" w:rsidR="00000000" w:rsidRPr="00000000">
        <w:rPr>
          <w:rtl w:val="0"/>
        </w:rPr>
      </w:r>
    </w:p>
    <w:p w:rsidR="00000000" w:rsidDel="00000000" w:rsidP="00000000" w:rsidRDefault="00000000" w:rsidRPr="00000000" w14:paraId="000000E8">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1. Nguyên tắc thưởng</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Tiền thưởng là khoản tiền, tài sản hoặc hình thức khác mà Công ty thưởng cho người lao động căn cứ kết quả sản xuất – kinh doanh và mức độ hoàn thành công việc theo Điều 104 Bộ luật Lao động. Quy chế thưởng được công khai tại nơi làm việc sau khi tham khảo ý kiến tổ chức đại diện người lao động (nếu có).</w:t>
      </w:r>
    </w:p>
    <w:p w:rsidR="00000000" w:rsidDel="00000000" w:rsidP="00000000" w:rsidRDefault="00000000" w:rsidRPr="00000000" w14:paraId="000000EA">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2. Lương tháng 13</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6"/>
        </w:tabs>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lao động làm việc đủ 12 tháng trong năm được hưởng 01 tháng lương thứ 13, tính bằng mức lương bình quân thực tế của năm hoặc mức lương tháng 12 tùy quyết định của Công ty.</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4"/>
        </w:tabs>
        <w:spacing w:after="0" w:before="0" w:line="240" w:lineRule="auto"/>
        <w:ind w:left="14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làm việc chưa đủ 12 tháng được hưởng theo tỷ lệ:</w:t>
      </w:r>
    </w:p>
    <w:p w:rsidR="00000000" w:rsidDel="00000000" w:rsidP="00000000" w:rsidRDefault="00000000" w:rsidRPr="00000000" w14:paraId="000000ED">
      <w:pPr>
        <w:spacing w:before="179" w:lineRule="auto"/>
        <w:ind w:left="483" w:right="0" w:firstLine="0"/>
        <w:jc w:val="left"/>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Lương tháng 13 = Lương tháng × (Số tháng làm việc thực tế ÷ 12).</w:t>
      </w:r>
    </w:p>
    <w:p w:rsidR="00000000" w:rsidDel="00000000" w:rsidP="00000000" w:rsidRDefault="00000000" w:rsidRPr="00000000" w14:paraId="000000EE">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3. Thưởng cuối năm (thưởng Tết Âm lịch)</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Hằng năm, nếu Công ty kinh doanh có lãi, người lao động được thưởng cuối năm. Mức thưởng phụ thuộc vào lợi nhuận, thời gian làm việc, kết quả xếp loại KPI, mức độ đóng góp và việc chấp hành nội quy. Tổng quỹ thưởng và mức thưởng cụ thể cho từng người do Hội đồng quản trị/Tổng Giám đốc quyết định.</w:t>
      </w:r>
    </w:p>
    <w:p w:rsidR="00000000" w:rsidDel="00000000" w:rsidP="00000000" w:rsidRDefault="00000000" w:rsidRPr="00000000" w14:paraId="000000F0">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4. Thưởng các ngày lễ, tết</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Nhân dịp Tết Dương lịch, ngày Giỗ Tổ Hùng Vương, ngày 30/4 và 01/5, Quốc khánh 02/9 và các ngày lễ khác, người lao động được thưởng từ 500.000 đồng đến 1.000.000 đồng/người/dịp hoặc mức cao hơn theo quyết định của Công ty, tùy kết quả kinh doanh và mức độ hoàn thành công việc.</w:t>
      </w:r>
    </w:p>
    <w:p w:rsidR="00000000" w:rsidDel="00000000" w:rsidP="00000000" w:rsidRDefault="00000000" w:rsidRPr="00000000" w14:paraId="000000F2">
      <w:pPr>
        <w:pStyle w:val="Heading4"/>
        <w:spacing w:before="60" w:lineRule="auto"/>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5. Thưởng doanh số, hoa hồng</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lao động trực tiếp tạo doanh thu hoặc giới thiệu thành công khách hàng được hưởng thưởng theo tỷ lệ phần trăm (%) doanh số theo quy chế thưởng doanh số riêng. Khoản thưởng doanh số được tổng hợp và chi trả cùng kỳ lương của tháng phát sinh hoặc theo kỳ nghiệm thu.</w:t>
      </w:r>
    </w:p>
    <w:p w:rsidR="00000000" w:rsidDel="00000000" w:rsidP="00000000" w:rsidRDefault="00000000" w:rsidRPr="00000000" w14:paraId="000000F4">
      <w:pPr>
        <w:pStyle w:val="Heading4"/>
        <w:ind w:firstLine="144"/>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6. Thưởng sáng kiến, đột xuất và thâm niên</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80" w:line="288" w:lineRule="auto"/>
        <w:ind w:left="720" w:right="339" w:firstLine="1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Thưởng sáng kiến: thưởng cho cá nhân/tập thể có sáng kiến, cải tiến kỹ thuật, giải pháp mang lại hiệu quả; mức thưởng căn cứ giá trị làm lợi.</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0" w:line="288" w:lineRule="auto"/>
        <w:ind w:left="720" w:right="341" w:firstLine="1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Thưởng đột xuất: thưởng nóng cho cá nhân/tập thể có thành tích nổi bật theo quyết định của Tổng Giám đốc.</w:t>
      </w:r>
    </w:p>
    <w:p w:rsidR="00000000" w:rsidDel="00000000" w:rsidP="00000000" w:rsidRDefault="00000000" w:rsidRPr="00000000" w14:paraId="000000F7">
      <w:pPr>
        <w:spacing w:after="120" w:before="120" w:lineRule="auto"/>
        <w:ind w:firstLine="120"/>
        <w:jc w:val="left"/>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Thưởng thâm niên, gắn bó: ghi nhận người lao động gắn bó lâu dài; mức và điều kiện theo quyết định của Công ty.</w:t>
      </w:r>
      <w:r w:rsidDel="00000000" w:rsidR="00000000" w:rsidRPr="00000000">
        <w:rPr>
          <w:rtl w:val="0"/>
        </w:rPr>
      </w:r>
    </w:p>
    <w:p w:rsidR="00000000" w:rsidDel="00000000" w:rsidP="00000000" w:rsidRDefault="00000000" w:rsidRPr="00000000" w14:paraId="000000F8">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7. Quỹ khen thưởng – phúc lợi</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9h5rgzvci33r" w:id="5"/>
      <w:bookmarkEnd w:i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Công ty trích lập quỹ khen thưởng, phúc lợi từ lợi nhuận sau thuế theo quyết định của Đại hội đồng cổ đông/Hội đồng quản trị để chi cho các khoản thưởng và phúc lợi nêu tại Quy chế này; bảo đảm cân đối, hiệu quả và đúng mục đích.</w:t>
      </w:r>
    </w:p>
    <w:p w:rsidR="00000000" w:rsidDel="00000000" w:rsidP="00000000" w:rsidRDefault="00000000" w:rsidRPr="00000000" w14:paraId="000000FA">
      <w:pPr>
        <w:pStyle w:val="Heading1"/>
        <w:ind w:left="2726" w:right="1521" w:hanging="1030"/>
        <w:jc w:val="left"/>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CHƯƠNG VIII. THUẾ THU NHẬP CÁ NHÂN VÀ CÁC KHOẢN KHẤU TRỪ</w:t>
      </w:r>
      <w:r w:rsidDel="00000000" w:rsidR="00000000" w:rsidRPr="00000000">
        <w:rPr>
          <w:rtl w:val="0"/>
        </w:rPr>
      </w:r>
    </w:p>
    <w:p w:rsidR="00000000" w:rsidDel="00000000" w:rsidP="00000000" w:rsidRDefault="00000000" w:rsidRPr="00000000" w14:paraId="000000FB">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1. Khấu trừ thuế thu nhập cá nhân</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5"/>
        </w:tabs>
        <w:spacing w:after="0" w:before="80" w:line="288" w:lineRule="auto"/>
        <w:ind w:left="144"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Công ty thực hiện khấu trừ thuế thu nhập cá nhân của người lao động trước khi chi trả thu nhập theo quy định của pháp luật thuế thu nhập cá nhân (Luật số 109/2025/QH15, Nghị định số 253/2026/NĐ-CP và Thông tư số 87/2026/TT-BTC).</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1"/>
        </w:tabs>
        <w:spacing w:after="0" w:before="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Đối với cá nhân cư trú ký hợp đồng lao động từ đủ 03 tháng trở lên: khấu trừ theo biểu thuế lũy tiến từng phần (khoản 1 Điều 50 Nghị định 253/2026/NĐ-CP). Đối với cá nhân không ký hợp đồng hoặc ký hợp đồng lao động dưới 03 tháng: kể từ 01/7/2026, chỉ khấu trừ 10% khi tổng mức chi trả từ 5.000.000 đồng/lần trở lên trừ trường hợp cá nhân làm bản cam kết đủ điều kiện theo quy định.</w:t>
      </w:r>
    </w:p>
    <w:p w:rsidR="00000000" w:rsidDel="00000000" w:rsidP="00000000" w:rsidRDefault="00000000" w:rsidRPr="00000000" w14:paraId="000000FE">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2. Các khoản giảm trừ</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Thu nhập tính thuế được xác định sau khi trừ các khoản: đóng bảo hiểm bắt buộc; giảm trừ gia cảnh; đóng góp từ thiện, nhân đạo, khuyến học và các khoản miễn, giảm theo quy định. Mức giảm trừ gia cảnh áp dụng từ kỳ tính thuế năm 2026 theo Nghị quyết số 110/2025/UBTVQH15:</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Bản thân giảm trừ 15.500.000 đồng/ tháng</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phụ thuộc: 6.200.000 đồng/ tháng</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4"/>
        <w:spacing w:before="0" w:lineRule="auto"/>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3. Các khoản trích theo lương</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Tỷ lệ trích nộp các khoản bảo hiểm bắt buộc thực hiện theo quy định hiện hành, người lao động chịu phần trích trừ vào lương; Công ty chịu phần của người sử dụng lao động và nộp về cơ quan bảo hiểm đúng thời hạn.</w:t>
      </w:r>
    </w:p>
    <w:p w:rsidR="00000000" w:rsidDel="00000000" w:rsidP="00000000" w:rsidRDefault="00000000" w:rsidRPr="00000000" w14:paraId="00000105">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4. Quyết toán thuế thu nhập cá nhân</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0" w:before="80" w:line="288" w:lineRule="auto"/>
        <w:ind w:left="144"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Kết thúc năm, Công ty thực hiện quyết toán thuế thu nhập cá nhân cho người lao động thuộc diện ủy quyền quyết toán; cấp chứng từ khấu trừ thuế thu nhập cá nhân điện tử cho các trường hợp tự quyết toán theo Thông tư số 87/2026/TT-BTC.</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6"/>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Cá nhân có thu nhập vãng lai (thu nhập khác nơi ký hợp đồng chính) dưới 15.000.000 đồng/tháng đã được khấu trừ 10% thì không phải quyết toán đối với phần thu nhập này (Điều 51 Nghị định 253/2026/NĐ-CP).</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bsbrw1rj7397" w:id="6"/>
      <w:bookmarkEnd w:id="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Công ty hướng dẫn người lao động đăng ký người phụ thuộc và hoàn thiện hồ sơ giảm trừ gia cảnh theo phân loại giấy tờ tại Thông tư 87/2026/TT-BTC; cơ quan thuế được khai thác dữ liệu dân cư quốc gia để xác định người phụ thuộc.</w:t>
      </w:r>
    </w:p>
    <w:p w:rsidR="00000000" w:rsidDel="00000000" w:rsidP="00000000" w:rsidRDefault="00000000" w:rsidRPr="00000000" w14:paraId="00000109">
      <w:pPr>
        <w:pStyle w:val="Heading1"/>
        <w:ind w:left="625" w:right="820" w:firstLine="0"/>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CHƯƠNG IX. KỶ LUẬT VÀ TRÁCH NHIỆM VẬT CHẤT</w:t>
      </w:r>
      <w:r w:rsidDel="00000000" w:rsidR="00000000" w:rsidRPr="00000000">
        <w:rPr>
          <w:rtl w:val="0"/>
        </w:rPr>
      </w:r>
    </w:p>
    <w:p w:rsidR="00000000" w:rsidDel="00000000" w:rsidP="00000000" w:rsidRDefault="00000000" w:rsidRPr="00000000" w14:paraId="0000010A">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Nguyên tắc</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Công ty không áp dụng hình thức phạt tiền, cắt lương thay cho việc xử lý kỷ luật lao động (khoản 2 Điều 127 Bộ luật Lao động). Việc giảm trừ chỉ áp dụng đối với tiền thưởng, lương hiệu quả gắn với kết quả đánh giá và trong các trường hợp khấu trừ hợp pháp.</w:t>
      </w:r>
    </w:p>
    <w:p w:rsidR="00000000" w:rsidDel="00000000" w:rsidP="00000000" w:rsidRDefault="00000000" w:rsidRPr="00000000" w14:paraId="0000010C">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2. Giảm trừ tiền thưởng, lương hiệu quả</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lao động vi phạm nội quy lao động, không hoàn thành công việc (xếp loại C, D) bị giảm trừ phần lương hiệu quả/thưởng tương ứng theo hệ số. Việc giảm trừ phải dựa trên kết quả đánh giá khách quan, công khai.</w:t>
      </w:r>
    </w:p>
    <w:p w:rsidR="00000000" w:rsidDel="00000000" w:rsidP="00000000" w:rsidRDefault="00000000" w:rsidRPr="00000000" w14:paraId="0000010E">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3. Khấu trừ tiền lương</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Công ty chỉ khấu trừ tiền lương của người lao động để bồi thường thiệt hại do làm hư hỏng dụng cụ, thiết bị hoặc làm mất tài sản theo Điều 102 Bộ luật Lao động. Mức khấu trừ không quá 30% tiền lương thực trả hằng tháng sau khi đã trích nộp bảo hiểm xã hội bắt buộc, bảo hiểm y tế, bảo hiểm thất nghiệp và thuế thu nhập cá nhân. Người lao động được biết lý do trước khi khấu trừ.</w:t>
      </w:r>
    </w:p>
    <w:p w:rsidR="00000000" w:rsidDel="00000000" w:rsidP="00000000" w:rsidRDefault="00000000" w:rsidRPr="00000000" w14:paraId="00000110">
      <w:pPr>
        <w:pStyle w:val="Heading4"/>
        <w:ind w:firstLine="144"/>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4. Trách nhiệm vật chất</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144" w:right="3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0paztexqdo0" w:id="7"/>
      <w:bookmarkEnd w: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Trường hợp người lao động gây thiệt hại tài sản của Công ty, việc bồi thường thực hiện theo Điều 129 Bộ luật Lao động và nội quy lao động, trên cơ sở mức độ lỗi, mức thiệt hại thực tế và hoàn cảnh của người lao động; bảo đảm trình tự, thủ tục theo quy định của pháp luật.</w:t>
      </w:r>
    </w:p>
    <w:p w:rsidR="00000000" w:rsidDel="00000000" w:rsidP="00000000" w:rsidRDefault="00000000" w:rsidRPr="00000000" w14:paraId="00000112">
      <w:pPr>
        <w:pStyle w:val="Heading1"/>
        <w:ind w:left="626" w:right="819" w:firstLine="0"/>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CHƯƠNG X. ĐIỀU KHOẢN THI HÀNH</w:t>
      </w:r>
      <w:r w:rsidDel="00000000" w:rsidR="00000000" w:rsidRPr="00000000">
        <w:rPr>
          <w:rtl w:val="0"/>
        </w:rPr>
      </w:r>
    </w:p>
    <w:p w:rsidR="00000000" w:rsidDel="00000000" w:rsidP="00000000" w:rsidRDefault="00000000" w:rsidRPr="00000000" w14:paraId="00000113">
      <w:pPr>
        <w:spacing w:after="120" w:before="120" w:lineRule="auto"/>
        <w:ind w:firstLine="56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Quy chế này được áp dụng với mọi người lao động trong doanh nghiệp. Mọi trường hợp phát sinh không quy định trong quy chế này sẽ được thực hiện theo quy định về tiền lương, thu nhập hiện hành của Nhà nước.</w:t>
      </w:r>
    </w:p>
    <w:p w:rsidR="00000000" w:rsidDel="00000000" w:rsidP="00000000" w:rsidRDefault="00000000" w:rsidRPr="00000000" w14:paraId="00000114">
      <w:pPr>
        <w:spacing w:after="120" w:before="120" w:lineRule="auto"/>
        <w:ind w:firstLine="56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Những quy định trong quy chế này trái với quy định chế độ tiền lương, tiền thưởng, thu nhập của Nhà nước thì không có hiệu lực thi hành.</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0" w:before="60" w:line="288" w:lineRule="auto"/>
        <w:ind w:left="144" w:right="339"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Trong quá trình thực hiện, nếu có vướng mắc hoặc khi pháp luật thay đổi, Quy chế được sửa đổi, bổ sung cho phù hợp. Việc sửa đổi, bổ sung do Hội đồng quản trị/Tổng Giám đốc quyết định bằng văn bản sau khi tham khảo ý kiến của tổ chức đại diện người lao động tại cơ sở.</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0" w:before="0" w:line="288" w:lineRule="auto"/>
        <w:ind w:left="144" w:right="3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spacing w:before="0" w:lineRule="auto"/>
        <w:ind w:left="479" w:right="0" w:firstLine="0"/>
        <w:jc w:val="left"/>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Quy chế được ban hành và công khai tại nơi làm việc, có hiệu lực thi hành kể từ ngày ký.</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sectPr>
          <w:type w:val="nextPage"/>
          <w:pgSz w:h="15840" w:w="12240" w:orient="portrait"/>
          <w:pgMar w:bottom="380" w:top="280" w:left="1440" w:right="1080" w:header="0" w:footer="730"/>
        </w:sectPr>
      </w:pPr>
      <w:r w:rsidDel="00000000" w:rsidR="00000000" w:rsidRPr="00000000">
        <w:rPr>
          <w:rtl w:val="0"/>
        </w:rPr>
      </w:r>
    </w:p>
    <w:p w:rsidR="00000000" w:rsidDel="00000000" w:rsidP="00000000" w:rsidRDefault="00000000" w:rsidRPr="00000000" w14:paraId="00000119">
      <w:pPr>
        <w:spacing w:before="90" w:lineRule="auto"/>
        <w:ind w:left="769" w:right="1" w:firstLine="0"/>
        <w:jc w:val="center"/>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ĐẠI DIỆN NGƯỜI LAO ĐỘNG</w:t>
      </w:r>
    </w:p>
    <w:p w:rsidR="00000000" w:rsidDel="00000000" w:rsidP="00000000" w:rsidRDefault="00000000" w:rsidRPr="00000000" w14:paraId="0000011A">
      <w:pPr>
        <w:spacing w:before="60" w:lineRule="auto"/>
        <w:ind w:left="769" w:right="0" w:firstLine="0"/>
        <w:jc w:val="center"/>
        <w:rPr>
          <w:rFonts w:ascii="Times New Roman" w:cs="Times New Roman" w:eastAsia="Times New Roman" w:hAnsi="Times New Roman"/>
          <w:i w:val="1"/>
          <w:iCs w:val="1"/>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(Ký, ghi rõ họ tên)</w:t>
      </w:r>
    </w:p>
    <w:p w:rsidR="00000000" w:rsidDel="00000000" w:rsidP="00000000" w:rsidRDefault="00000000" w:rsidRPr="00000000" w14:paraId="0000011B">
      <w:pPr>
        <w:spacing w:before="90" w:lineRule="auto"/>
        <w:ind w:left="808" w:right="838" w:firstLine="0"/>
        <w:jc w:val="center"/>
        <w:rPr>
          <w:rFonts w:ascii="Times New Roman" w:cs="Times New Roman" w:eastAsia="Times New Roman" w:hAnsi="Times New Roman"/>
          <w:b w:val="1"/>
          <w:bCs w:val="1"/>
          <w:sz w:val="24"/>
          <w:szCs w:val="24"/>
          <w:vertAlign w:val="baseline"/>
        </w:rPr>
      </w:pPr>
      <w:r w:rsidDel="00000000" w:rsidR="00000000" w:rsidRPr="00000000">
        <w:br w:type="column"/>
      </w:r>
      <w:r w:rsidDel="00000000" w:rsidR="00000000" w:rsidRPr="00000000">
        <w:rPr>
          <w:rFonts w:ascii="Times New Roman" w:cs="Times New Roman" w:eastAsia="Times New Roman" w:hAnsi="Times New Roman"/>
          <w:b w:val="1"/>
          <w:bCs w:val="1"/>
          <w:sz w:val="24"/>
          <w:szCs w:val="24"/>
          <w:vertAlign w:val="baseline"/>
          <w:rtl w:val="0"/>
        </w:rPr>
        <w:t xml:space="preserve">TM. HỘI ĐỒNG QUẢN TRỊ CHỦ TỊCH / TỔNG GIÁM ĐỐC</w:t>
      </w:r>
    </w:p>
    <w:p w:rsidR="00000000" w:rsidDel="00000000" w:rsidP="00000000" w:rsidRDefault="00000000" w:rsidRPr="00000000" w14:paraId="0000011C">
      <w:pPr>
        <w:spacing w:before="60" w:lineRule="auto"/>
        <w:ind w:left="0" w:right="29" w:firstLine="0"/>
        <w:jc w:val="center"/>
        <w:rPr>
          <w:rFonts w:ascii="Times New Roman" w:cs="Times New Roman" w:eastAsia="Times New Roman" w:hAnsi="Times New Roman"/>
          <w:i w:val="1"/>
          <w:iCs w:val="1"/>
          <w:sz w:val="24"/>
          <w:szCs w:val="24"/>
          <w:vertAlign w:val="baseline"/>
        </w:rPr>
        <w:sectPr>
          <w:type w:val="continuous"/>
          <w:pgSz w:h="15840" w:w="12240" w:orient="portrait"/>
          <w:pgMar w:bottom="920" w:top="1380" w:left="1440" w:right="1080" w:header="0" w:footer="730"/>
          <w:cols w:equalWidth="0" w:num="2">
            <w:col w:space="441" w:w="4639.5"/>
            <w:col w:space="0" w:w="4639.5"/>
          </w:cols>
        </w:sectPr>
      </w:pPr>
      <w:bookmarkStart w:colFirst="0" w:colLast="0" w:name="_heading=h.sfxhalotigo" w:id="8"/>
      <w:bookmarkEnd w:id="8"/>
      <w:r w:rsidDel="00000000" w:rsidR="00000000" w:rsidRPr="00000000">
        <w:rPr>
          <w:rFonts w:ascii="Times New Roman" w:cs="Times New Roman" w:eastAsia="Times New Roman" w:hAnsi="Times New Roman"/>
          <w:i w:val="1"/>
          <w:iCs w:val="1"/>
          <w:sz w:val="24"/>
          <w:szCs w:val="24"/>
          <w:vertAlign w:val="baseline"/>
          <w:rtl w:val="0"/>
        </w:rPr>
        <w:t xml:space="preserve">(Ký, ghi rõ họ tên, đóng dấu)</w:t>
      </w:r>
    </w:p>
    <w:p w:rsidR="00000000" w:rsidDel="00000000" w:rsidP="00000000" w:rsidRDefault="00000000" w:rsidRPr="00000000" w14:paraId="0000011D">
      <w:pPr>
        <w:pStyle w:val="Heading2"/>
        <w:keepNext w:val="0"/>
        <w:widowControl w:val="0"/>
        <w:spacing w:after="0" w:before="150" w:line="240" w:lineRule="auto"/>
        <w:ind w:left="0" w:right="194" w:firstLine="0"/>
        <w:jc w:val="center"/>
        <w:rPr>
          <w:rFonts w:ascii="Times New Roman" w:cs="Times New Roman" w:eastAsia="Times New Roman" w:hAnsi="Times New Roman"/>
          <w:b w:val="1"/>
          <w:bCs w:val="1"/>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PHỤ LỤC I – HỆ THỐNG THANG, BẢNG LƯƠNG THEO CHỨC DANH</w:t>
      </w:r>
    </w:p>
    <w:p w:rsidR="00000000" w:rsidDel="00000000" w:rsidP="00000000" w:rsidRDefault="00000000" w:rsidRPr="00000000" w14:paraId="0000011E">
      <w:pPr>
        <w:spacing w:before="160" w:line="288" w:lineRule="auto"/>
        <w:ind w:left="144" w:right="3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Bảng lương theo chức danh và bậc lương  Bậc 1 không thấp hơn mức lương tối thiểu vùng; khoảng cách giữa hai bậc liền kề ít nhất 5% theo Điều 32. Doanh nghiệp điều chỉnh cho phù hợp ngân sách và mặt bằng ngành:</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5"/>
        <w:tblW w:w="9360.0" w:type="dxa"/>
        <w:jc w:val="left"/>
        <w:tblBorders>
          <w:top w:color="aaaaaa" w:space="0" w:sz="4" w:val="single"/>
          <w:left w:color="aaaaaa" w:space="0" w:sz="4" w:val="single"/>
          <w:bottom w:color="aaaaaa" w:space="0" w:sz="4" w:val="single"/>
          <w:right w:color="aaaaaa" w:space="0" w:sz="4" w:val="single"/>
          <w:insideH w:color="aaaaaa" w:space="0" w:sz="4" w:val="single"/>
          <w:insideV w:color="aaaaaa" w:space="0" w:sz="4" w:val="single"/>
        </w:tblBorders>
        <w:tblLayout w:type="fixed"/>
        <w:tblLook w:val="0000"/>
      </w:tblPr>
      <w:tblGrid>
        <w:gridCol w:w="2760"/>
        <w:gridCol w:w="1320"/>
        <w:gridCol w:w="1320"/>
        <w:gridCol w:w="1320"/>
        <w:gridCol w:w="1320"/>
        <w:gridCol w:w="1320"/>
        <w:tblGridChange w:id="0">
          <w:tblGrid>
            <w:gridCol w:w="2760"/>
            <w:gridCol w:w="1320"/>
            <w:gridCol w:w="1320"/>
            <w:gridCol w:w="1320"/>
            <w:gridCol w:w="1320"/>
            <w:gridCol w:w="1320"/>
          </w:tblGrid>
        </w:tblGridChange>
      </w:tblGrid>
      <w:tr>
        <w:trPr>
          <w:cantSplit w:val="0"/>
          <w:trHeight w:val="372" w:hRule="atLeast"/>
          <w:tblHeader w:val="0"/>
        </w:trPr>
        <w:tc>
          <w:tcPr>
            <w:shd w:fill="1f3864" w:val="clea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57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2"/>
                <w:szCs w:val="22"/>
                <w:u w:val="none"/>
                <w:shd w:fill="auto" w:val="clear"/>
                <w:vertAlign w:val="baseline"/>
                <w:rtl w:val="0"/>
              </w:rPr>
              <w:t xml:space="preserve">Nhóm chức danh</w:t>
            </w:r>
            <w:r w:rsidDel="00000000" w:rsidR="00000000" w:rsidRPr="00000000">
              <w:rPr>
                <w:rtl w:val="0"/>
              </w:rPr>
            </w:r>
          </w:p>
        </w:tc>
        <w:tc>
          <w:tcPr>
            <w:shd w:fill="1f3864" w:val="clea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40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2"/>
                <w:szCs w:val="22"/>
                <w:u w:val="none"/>
                <w:shd w:fill="auto" w:val="clear"/>
                <w:vertAlign w:val="baseline"/>
                <w:rtl w:val="0"/>
              </w:rPr>
              <w:t xml:space="preserve">Bậc 1</w:t>
            </w:r>
            <w:r w:rsidDel="00000000" w:rsidR="00000000" w:rsidRPr="00000000">
              <w:rPr>
                <w:rtl w:val="0"/>
              </w:rPr>
            </w:r>
          </w:p>
        </w:tc>
        <w:tc>
          <w:tcPr>
            <w:shd w:fill="1f3864" w:val="clea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40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2"/>
                <w:szCs w:val="22"/>
                <w:u w:val="none"/>
                <w:shd w:fill="auto" w:val="clear"/>
                <w:vertAlign w:val="baseline"/>
                <w:rtl w:val="0"/>
              </w:rPr>
              <w:t xml:space="preserve">Bậc 2</w:t>
            </w:r>
            <w:r w:rsidDel="00000000" w:rsidR="00000000" w:rsidRPr="00000000">
              <w:rPr>
                <w:rtl w:val="0"/>
              </w:rPr>
            </w:r>
          </w:p>
        </w:tc>
        <w:tc>
          <w:tcPr>
            <w:shd w:fill="1f3864" w:val="clea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40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2"/>
                <w:szCs w:val="22"/>
                <w:u w:val="none"/>
                <w:shd w:fill="auto" w:val="clear"/>
                <w:vertAlign w:val="baseline"/>
                <w:rtl w:val="0"/>
              </w:rPr>
              <w:t xml:space="preserve">Bậc 3</w:t>
            </w:r>
            <w:r w:rsidDel="00000000" w:rsidR="00000000" w:rsidRPr="00000000">
              <w:rPr>
                <w:rtl w:val="0"/>
              </w:rPr>
            </w:r>
          </w:p>
        </w:tc>
        <w:tc>
          <w:tcPr>
            <w:shd w:fill="1f3864" w:val="clea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40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2"/>
                <w:szCs w:val="22"/>
                <w:u w:val="none"/>
                <w:shd w:fill="auto" w:val="clear"/>
                <w:vertAlign w:val="baseline"/>
                <w:rtl w:val="0"/>
              </w:rPr>
              <w:t xml:space="preserve">Bậc 4</w:t>
            </w:r>
            <w:r w:rsidDel="00000000" w:rsidR="00000000" w:rsidRPr="00000000">
              <w:rPr>
                <w:rtl w:val="0"/>
              </w:rPr>
            </w:r>
          </w:p>
        </w:tc>
        <w:tc>
          <w:tcPr>
            <w:shd w:fill="1f3864" w:val="clea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40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2"/>
                <w:szCs w:val="22"/>
                <w:u w:val="none"/>
                <w:shd w:fill="auto" w:val="clear"/>
                <w:vertAlign w:val="baseline"/>
                <w:rtl w:val="0"/>
              </w:rPr>
              <w:t xml:space="preserve">Bậc 5</w:t>
            </w:r>
            <w:r w:rsidDel="00000000" w:rsidR="00000000" w:rsidRPr="00000000">
              <w:rPr>
                <w:rtl w:val="0"/>
              </w:rPr>
            </w:r>
          </w:p>
        </w:tc>
      </w:tr>
      <w:tr>
        <w:trPr>
          <w:cantSplit w:val="0"/>
          <w:trHeight w:val="605" w:hRule="atLeast"/>
          <w:tblHeader w:val="0"/>
        </w:trPr>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Ban Giám đốc / Quản lý cấp cao</w:t>
            </w:r>
          </w:p>
        </w:tc>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20.000.000</w:t>
            </w:r>
          </w:p>
        </w:tc>
        <w:tc>
          <w:tcP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22.000.000</w:t>
            </w:r>
          </w:p>
        </w:tc>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24.000.000</w:t>
            </w:r>
          </w:p>
        </w:tc>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26.000.000</w:t>
            </w:r>
          </w:p>
        </w:tc>
        <w:tc>
          <w:tcP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28.000.000</w:t>
            </w:r>
          </w:p>
        </w:tc>
      </w:tr>
      <w:tr>
        <w:trPr>
          <w:cantSplit w:val="0"/>
          <w:trHeight w:val="352" w:hRule="atLeast"/>
          <w:tblHeader w:val="0"/>
        </w:trPr>
        <w:tc>
          <w:tcPr>
            <w:shd w:fill="eaf0f8" w:val="clea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Trưởng / Phó phòng</w:t>
            </w:r>
          </w:p>
        </w:tc>
        <w:tc>
          <w:tcPr>
            <w:shd w:fill="eaf0f8" w:val="clea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10.000.000</w:t>
            </w:r>
          </w:p>
        </w:tc>
        <w:tc>
          <w:tcPr>
            <w:shd w:fill="eaf0f8" w:val="clea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12.000.000</w:t>
            </w:r>
          </w:p>
        </w:tc>
        <w:tc>
          <w:tcPr>
            <w:shd w:fill="eaf0f8" w:val="clea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16.000.000</w:t>
            </w:r>
          </w:p>
        </w:tc>
        <w:tc>
          <w:tcPr>
            <w:shd w:fill="eaf0f8" w:val="clea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18.000.000</w:t>
            </w:r>
          </w:p>
        </w:tc>
        <w:tc>
          <w:tcPr>
            <w:shd w:fill="eaf0f8" w:val="clea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20.000.000</w:t>
            </w:r>
          </w:p>
        </w:tc>
      </w:tr>
      <w:tr>
        <w:trPr>
          <w:cantSplit w:val="0"/>
          <w:trHeight w:val="352" w:hRule="atLeast"/>
          <w:tblHeader w:val="0"/>
        </w:trPr>
        <w:tc>
          <w:tcPr>
            <w:shd w:fill="auto" w:val="clea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Chuyên viên / Kỹ sư</w:t>
            </w:r>
          </w:p>
        </w:tc>
        <w:tc>
          <w:tcPr>
            <w:shd w:fill="auto" w:val="clea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8.000.000</w:t>
            </w:r>
          </w:p>
        </w:tc>
        <w:tc>
          <w:tcPr>
            <w:shd w:fill="auto" w:val="clea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9.000.000</w:t>
            </w:r>
          </w:p>
        </w:tc>
        <w:tc>
          <w:tcPr>
            <w:shd w:fill="auto" w:val="clea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10.000.000</w:t>
            </w:r>
          </w:p>
        </w:tc>
        <w:tc>
          <w:tcPr>
            <w:shd w:fill="ffffff" w:val="clea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11.000.000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-2539</wp:posOffset>
                      </wp:positionV>
                      <wp:extent cx="1676400" cy="230505"/>
                      <wp:effectExtent b="0" l="0" r="0" t="0"/>
                      <wp:wrapNone/>
                      <wp:docPr id="4" name=""/>
                      <a:graphic>
                        <a:graphicData uri="http://schemas.microsoft.com/office/word/2010/wordprocessingGroup">
                          <wpg:wgp>
                            <wpg:cNvGrpSpPr/>
                            <wpg:grpSpPr>
                              <a:xfrm>
                                <a:off x="4507775" y="3664725"/>
                                <a:ext cx="1676400" cy="230505"/>
                                <a:chOff x="4507775" y="3664725"/>
                                <a:chExt cx="1676425" cy="230525"/>
                              </a:xfrm>
                            </wpg:grpSpPr>
                            <wpg:grpSp>
                              <wpg:cNvGrpSpPr/>
                              <wpg:grpSpPr>
                                <a:xfrm>
                                  <a:off x="4507788" y="3664748"/>
                                  <a:ext cx="1677035" cy="230504"/>
                                  <a:chOff x="-12" y="0"/>
                                  <a:chExt cx="1677035" cy="230504"/>
                                </a:xfrm>
                              </wpg:grpSpPr>
                              <wps:wsp>
                                <wps:cNvSpPr/>
                                <wps:cNvPr id="3" name="Shape 3"/>
                                <wps:spPr>
                                  <a:xfrm>
                                    <a:off x="0" y="0"/>
                                    <a:ext cx="1676400" cy="2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2" y="0"/>
                                    <a:ext cx="1677035" cy="230504"/>
                                  </a:xfrm>
                                  <a:custGeom>
                                    <a:rect b="b" l="l" r="r" t="t"/>
                                    <a:pathLst>
                                      <a:path extrusionOk="0" h="230504" w="1677035">
                                        <a:moveTo>
                                          <a:pt x="1676412" y="0"/>
                                        </a:moveTo>
                                        <a:lnTo>
                                          <a:pt x="838200" y="0"/>
                                        </a:lnTo>
                                        <a:lnTo>
                                          <a:pt x="0" y="0"/>
                                        </a:lnTo>
                                        <a:lnTo>
                                          <a:pt x="0" y="230492"/>
                                        </a:lnTo>
                                        <a:lnTo>
                                          <a:pt x="838200" y="230492"/>
                                        </a:lnTo>
                                        <a:lnTo>
                                          <a:pt x="1676412" y="230492"/>
                                        </a:lnTo>
                                        <a:lnTo>
                                          <a:pt x="1676412" y="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-2539</wp:posOffset>
                      </wp:positionV>
                      <wp:extent cx="1676400" cy="230505"/>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676400" cy="230505"/>
                              </a:xfrm>
                              <a:prstGeom prst="rect"/>
                              <a:ln/>
                            </pic:spPr>
                          </pic:pic>
                        </a:graphicData>
                      </a:graphic>
                    </wp:anchor>
                  </w:drawing>
                </mc:Fallback>
              </mc:AlternateContent>
            </w:r>
          </w:p>
        </w:tc>
        <w:tc>
          <w:tcPr>
            <w:shd w:fill="ffffff" w:val="clea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12.000.000</w:t>
            </w:r>
          </w:p>
        </w:tc>
      </w:tr>
      <w:tr>
        <w:trPr>
          <w:cantSplit w:val="0"/>
          <w:trHeight w:val="352" w:hRule="atLeast"/>
          <w:tblHeader w:val="0"/>
        </w:trPr>
        <w:tc>
          <w:tcPr>
            <w:shd w:fill="eaf0f8" w:val="clea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Nhân viên nghiệp vụ</w:t>
            </w:r>
          </w:p>
        </w:tc>
        <w:tc>
          <w:tcPr>
            <w:shd w:fill="eaf0f8" w:val="clea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6.000.000</w:t>
            </w:r>
          </w:p>
        </w:tc>
        <w:tc>
          <w:tcPr>
            <w:shd w:fill="eaf0f8" w:val="clea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7.000.000</w:t>
            </w:r>
          </w:p>
        </w:tc>
        <w:tc>
          <w:tcPr>
            <w:shd w:fill="eaf0f8" w:val="clea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8.000.000</w:t>
            </w:r>
          </w:p>
        </w:tc>
        <w:tc>
          <w:tcPr>
            <w:shd w:fill="eaf0f8" w:val="clea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9.000.000</w:t>
            </w:r>
          </w:p>
        </w:tc>
        <w:tc>
          <w:tcPr>
            <w:shd w:fill="eaf0f8" w:val="clea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0" w:right="9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10.000.000</w:t>
            </w:r>
          </w:p>
        </w:tc>
      </w:tr>
      <w:tr>
        <w:trPr>
          <w:cantSplit w:val="0"/>
          <w:trHeight w:val="605" w:hRule="atLeast"/>
          <w:tblHeader w:val="0"/>
        </w:trPr>
        <w:tc>
          <w:tcPr>
            <w:shd w:fill="auto" w:val="clea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40" w:lineRule="auto"/>
              <w:ind w:left="1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Công nhân / Lao động phổ thông</w:t>
            </w:r>
          </w:p>
        </w:tc>
        <w:tc>
          <w:tcPr>
            <w:shd w:fill="auto" w:val="clea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5.500.000</w:t>
            </w:r>
          </w:p>
        </w:tc>
        <w:tc>
          <w:tcPr>
            <w:shd w:fill="auto" w:val="clea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5.800.000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838200</wp:posOffset>
                      </wp:positionH>
                      <wp:positionV relativeFrom="paragraph">
                        <wp:posOffset>-3174</wp:posOffset>
                      </wp:positionV>
                      <wp:extent cx="2514600" cy="391160"/>
                      <wp:effectExtent b="0" l="0" r="0" t="0"/>
                      <wp:wrapNone/>
                      <wp:docPr id="3" name=""/>
                      <a:graphic>
                        <a:graphicData uri="http://schemas.microsoft.com/office/word/2010/wordprocessingGroup">
                          <wpg:wgp>
                            <wpg:cNvGrpSpPr/>
                            <wpg:grpSpPr>
                              <a:xfrm>
                                <a:off x="4088675" y="3584400"/>
                                <a:ext cx="2514600" cy="391160"/>
                                <a:chOff x="4088675" y="3584400"/>
                                <a:chExt cx="2514625" cy="391175"/>
                              </a:xfrm>
                            </wpg:grpSpPr>
                            <wpg:grpSp>
                              <wpg:cNvGrpSpPr/>
                              <wpg:grpSpPr>
                                <a:xfrm>
                                  <a:off x="4088688" y="3584420"/>
                                  <a:ext cx="2515235" cy="391162"/>
                                  <a:chOff x="-12" y="0"/>
                                  <a:chExt cx="2515235" cy="391162"/>
                                </a:xfrm>
                              </wpg:grpSpPr>
                              <wps:wsp>
                                <wps:cNvSpPr/>
                                <wps:cNvPr id="3" name="Shape 3"/>
                                <wps:spPr>
                                  <a:xfrm>
                                    <a:off x="0" y="0"/>
                                    <a:ext cx="2514600" cy="39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2" y="2"/>
                                    <a:ext cx="2515235" cy="391160"/>
                                  </a:xfrm>
                                  <a:custGeom>
                                    <a:rect b="b" l="l" r="r" t="t"/>
                                    <a:pathLst>
                                      <a:path extrusionOk="0" h="391160" w="2515235">
                                        <a:moveTo>
                                          <a:pt x="2514612" y="0"/>
                                        </a:moveTo>
                                        <a:lnTo>
                                          <a:pt x="1676400" y="0"/>
                                        </a:lnTo>
                                        <a:lnTo>
                                          <a:pt x="838200" y="0"/>
                                        </a:lnTo>
                                        <a:lnTo>
                                          <a:pt x="0" y="0"/>
                                        </a:lnTo>
                                        <a:lnTo>
                                          <a:pt x="0" y="391134"/>
                                        </a:lnTo>
                                        <a:lnTo>
                                          <a:pt x="838200" y="391134"/>
                                        </a:lnTo>
                                        <a:lnTo>
                                          <a:pt x="1676400" y="391134"/>
                                        </a:lnTo>
                                        <a:lnTo>
                                          <a:pt x="2514612" y="391134"/>
                                        </a:lnTo>
                                        <a:lnTo>
                                          <a:pt x="2514612" y="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838200</wp:posOffset>
                      </wp:positionH>
                      <wp:positionV relativeFrom="paragraph">
                        <wp:posOffset>-3174</wp:posOffset>
                      </wp:positionV>
                      <wp:extent cx="2514600" cy="39116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514600" cy="391160"/>
                              </a:xfrm>
                              <a:prstGeom prst="rect"/>
                              <a:ln/>
                            </pic:spPr>
                          </pic:pic>
                        </a:graphicData>
                      </a:graphic>
                    </wp:anchor>
                  </w:drawing>
                </mc:Fallback>
              </mc:AlternateContent>
            </w:r>
          </w:p>
        </w:tc>
        <w:tc>
          <w:tcPr>
            <w:shd w:fill="ffffff" w:val="clea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6.000.000</w:t>
            </w:r>
          </w:p>
        </w:tc>
        <w:tc>
          <w:tcPr>
            <w:shd w:fill="ffffff" w:val="clea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6.300.000</w:t>
            </w:r>
          </w:p>
        </w:tc>
        <w:tc>
          <w:tcPr>
            <w:shd w:fill="ffffff" w:val="clea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1" w:line="240" w:lineRule="auto"/>
              <w:ind w:left="0" w:right="9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6.900.000</w:t>
            </w:r>
          </w:p>
        </w:tc>
      </w:tr>
    </w:tbl>
    <w:p w:rsidR="00000000" w:rsidDel="00000000" w:rsidP="00000000" w:rsidRDefault="00000000" w:rsidRPr="00000000" w14:paraId="00000144">
      <w:pPr>
        <w:spacing w:after="120" w:before="120" w:lineRule="auto"/>
        <w:jc w:val="left"/>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45">
      <w:pPr>
        <w:spacing w:after="120" w:before="120" w:lineRule="auto"/>
        <w:jc w:val="left"/>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46">
      <w:pPr>
        <w:spacing w:after="120" w:before="120" w:lineRule="auto"/>
        <w:jc w:val="left"/>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47">
      <w:pPr>
        <w:spacing w:after="120" w:before="120" w:lineRule="auto"/>
        <w:jc w:val="left"/>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48">
      <w:pPr>
        <w:spacing w:after="0" w:line="360" w:lineRule="auto"/>
        <w:jc w:val="center"/>
        <w:rPr>
          <w:rFonts w:ascii="Times New Roman" w:cs="Times New Roman" w:eastAsia="Times New Roman" w:hAnsi="Times New Roman"/>
          <w:b w:val="1"/>
          <w:bCs w:val="1"/>
          <w:i w:val="1"/>
          <w:iCs w:val="1"/>
          <w:sz w:val="24"/>
          <w:szCs w:val="24"/>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PHỤ LỤC 2: QUY ĐỊNH ĐÁNH GIÁ CHỈ TIÊU KPI VÀ TÍNH LƯƠNG NĂNG SUẤT</w:t>
      </w:r>
      <w:r w:rsidDel="00000000" w:rsidR="00000000" w:rsidRPr="00000000">
        <w:rPr>
          <w:rFonts w:ascii="Times New Roman" w:cs="Times New Roman" w:eastAsia="Times New Roman" w:hAnsi="Times New Roman"/>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149">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(Đính kèm theo Quy chế Lương, Thưởng, Phụ cấp số …/2026/QĐ-GĐ)</w:t>
      </w:r>
      <w:r w:rsidDel="00000000" w:rsidR="00000000" w:rsidRPr="00000000">
        <w:rPr>
          <w:rtl w:val="0"/>
        </w:rPr>
      </w:r>
    </w:p>
    <w:p w:rsidR="00000000" w:rsidDel="00000000" w:rsidP="00000000" w:rsidRDefault="00000000" w:rsidRPr="00000000" w14:paraId="0000014A">
      <w:pPr>
        <w:spacing w:after="0" w:line="360" w:lineRule="auto"/>
        <w:jc w:val="both"/>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 NGUYÊN TẮC ĐÁNH GIÁ KPI</w:t>
      </w:r>
    </w:p>
    <w:p w:rsidR="00000000" w:rsidDel="00000000" w:rsidP="00000000" w:rsidRDefault="00000000" w:rsidRPr="00000000" w14:paraId="0000014B">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Tính khách quan và minh bạch:</w:t>
      </w:r>
      <w:r w:rsidDel="00000000" w:rsidR="00000000" w:rsidRPr="00000000">
        <w:rPr>
          <w:rFonts w:ascii="Times New Roman" w:cs="Times New Roman" w:eastAsia="Times New Roman" w:hAnsi="Times New Roman"/>
          <w:sz w:val="24"/>
          <w:szCs w:val="24"/>
          <w:vertAlign w:val="baseline"/>
          <w:rtl w:val="0"/>
        </w:rPr>
        <w:t xml:space="preserve"> Đánh giá dựa trên kết quả công việc thực tế, có số liệu/tài liệu chứng minh rõ ràng.</w:t>
      </w:r>
    </w:p>
    <w:p w:rsidR="00000000" w:rsidDel="00000000" w:rsidP="00000000" w:rsidRDefault="00000000" w:rsidRPr="00000000" w14:paraId="0000014C">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Kỳ đánh giá:</w:t>
      </w:r>
      <w:r w:rsidDel="00000000" w:rsidR="00000000" w:rsidRPr="00000000">
        <w:rPr>
          <w:rFonts w:ascii="Times New Roman" w:cs="Times New Roman" w:eastAsia="Times New Roman" w:hAnsi="Times New Roman"/>
          <w:sz w:val="24"/>
          <w:szCs w:val="24"/>
          <w:vertAlign w:val="baseline"/>
          <w:rtl w:val="0"/>
        </w:rPr>
        <w:t xml:space="preserve"> Thực hiện từ ngày 01 đến ngày cuối cùng của tháng. Trưởng bộ phận có trách nhiệm gửi bảng tổng hợp KPI về Bộ phận Hành chính – Nhân sự (HCNS) trước ngày 03 của tháng tiếp theo.</w:t>
      </w:r>
    </w:p>
    <w:p w:rsidR="00000000" w:rsidDel="00000000" w:rsidP="00000000" w:rsidRDefault="00000000" w:rsidRPr="00000000" w14:paraId="0000014D">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Thang điểm chuẩn:</w:t>
      </w:r>
      <w:r w:rsidDel="00000000" w:rsidR="00000000" w:rsidRPr="00000000">
        <w:rPr>
          <w:rFonts w:ascii="Times New Roman" w:cs="Times New Roman" w:eastAsia="Times New Roman" w:hAnsi="Times New Roman"/>
          <w:sz w:val="24"/>
          <w:szCs w:val="24"/>
          <w:vertAlign w:val="baseline"/>
          <w:rtl w:val="0"/>
        </w:rPr>
        <w:t xml:space="preserve"> Tổng điểm KPI tối đa là 100 điểm, tương đương với 100% tỷ lệ hoàn thành công việc.</w:t>
      </w:r>
    </w:p>
    <w:p w:rsidR="00000000" w:rsidDel="00000000" w:rsidP="00000000" w:rsidRDefault="00000000" w:rsidRPr="00000000" w14:paraId="0000014E">
      <w:pPr>
        <w:spacing w:after="0" w:line="360" w:lineRule="auto"/>
        <w:jc w:val="both"/>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II. CẤU TRÚC BỘ TIÊU CHÍ ĐÁNH GIÁ (Ví dụ cho Khối Chuyên môn/Dịch vụ)</w:t>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1. Nhóm chỉ tiêu Công việc chuyên môn (Trọng số: 50% - Tối đa 50 điểm)</w:t>
      </w:r>
      <w:r w:rsidDel="00000000" w:rsidR="00000000" w:rsidRPr="00000000">
        <w:rPr>
          <w:rtl w:val="0"/>
        </w:rPr>
      </w:r>
    </w:p>
    <w:p w:rsidR="00000000" w:rsidDel="00000000" w:rsidP="00000000" w:rsidRDefault="00000000" w:rsidRPr="00000000" w14:paraId="00000150">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Tiến độ hoàn thành (20 điểm):</w:t>
      </w:r>
      <w:r w:rsidDel="00000000" w:rsidR="00000000" w:rsidRPr="00000000">
        <w:rPr>
          <w:rtl w:val="0"/>
        </w:rPr>
      </w:r>
    </w:p>
    <w:p w:rsidR="00000000" w:rsidDel="00000000" w:rsidP="00000000" w:rsidRDefault="00000000" w:rsidRPr="00000000" w14:paraId="00000151">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Hoàn thành 100% hồ sơ/báo cáo đúng hạn: 20 điểm.</w:t>
      </w:r>
    </w:p>
    <w:p w:rsidR="00000000" w:rsidDel="00000000" w:rsidP="00000000" w:rsidRDefault="00000000" w:rsidRPr="00000000" w14:paraId="00000152">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Trễ hạn 01 ngày/lần: Trừ 5 điểm/lần.</w:t>
      </w:r>
    </w:p>
    <w:p w:rsidR="00000000" w:rsidDel="00000000" w:rsidP="00000000" w:rsidRDefault="00000000" w:rsidRPr="00000000" w14:paraId="00000153">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Trễ hạn dẫn đến hậu quả bị cơ quan chức năng nhắc nhở/phạt: 0 điểm tiêu chí này.</w:t>
      </w:r>
    </w:p>
    <w:p w:rsidR="00000000" w:rsidDel="00000000" w:rsidP="00000000" w:rsidRDefault="00000000" w:rsidRPr="00000000" w14:paraId="00000154">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Chất lượng và độ chính xác (30 điểm):</w:t>
      </w:r>
      <w:r w:rsidDel="00000000" w:rsidR="00000000" w:rsidRPr="00000000">
        <w:rPr>
          <w:rtl w:val="0"/>
        </w:rPr>
      </w:r>
    </w:p>
    <w:p w:rsidR="00000000" w:rsidDel="00000000" w:rsidP="00000000" w:rsidRDefault="00000000" w:rsidRPr="00000000" w14:paraId="00000155">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Số liệu, văn bản chuẩn xác, không phải chỉnh sửa từ cấp quản lý: 30 điểm.</w:t>
      </w:r>
    </w:p>
    <w:p w:rsidR="00000000" w:rsidDel="00000000" w:rsidP="00000000" w:rsidRDefault="00000000" w:rsidRPr="00000000" w14:paraId="00000156">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Có sai sót nhỏ nhưng tự khắc phục kịp thời (không ảnh hưởng đến khách hàng/đối tác): Trừ 2 điểm/lần.</w:t>
      </w:r>
    </w:p>
    <w:p w:rsidR="00000000" w:rsidDel="00000000" w:rsidP="00000000" w:rsidRDefault="00000000" w:rsidRPr="00000000" w14:paraId="00000157">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Sai sót nghiêm trọng dẫn đến thiệt hại tài chính hoặc sai lệch báo cáo cuối cùng: 0 điểm tiêu chí này.</w:t>
      </w:r>
    </w:p>
    <w:p w:rsidR="00000000" w:rsidDel="00000000" w:rsidP="00000000" w:rsidRDefault="00000000" w:rsidRPr="00000000" w14:paraId="00000158">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2. Nhóm chỉ tiêu Năng lực xử lý và Phục vụ khách hàng (Trọng số: 30% - Tối đa 30 điểm)</w:t>
      </w:r>
      <w:r w:rsidDel="00000000" w:rsidR="00000000" w:rsidRPr="00000000">
        <w:rPr>
          <w:rtl w:val="0"/>
        </w:rPr>
      </w:r>
    </w:p>
    <w:p w:rsidR="00000000" w:rsidDel="00000000" w:rsidP="00000000" w:rsidRDefault="00000000" w:rsidRPr="00000000" w14:paraId="00000159">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Tốc độ phản hồi và chất lượng tư vấn (15 điểm):</w:t>
      </w:r>
      <w:r w:rsidDel="00000000" w:rsidR="00000000" w:rsidRPr="00000000">
        <w:rPr>
          <w:rtl w:val="0"/>
        </w:rPr>
      </w:r>
    </w:p>
    <w:p w:rsidR="00000000" w:rsidDel="00000000" w:rsidP="00000000" w:rsidRDefault="00000000" w:rsidRPr="00000000" w14:paraId="0000015A">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Giải đáp thắc mắc, phản hồi email/tin nhắn của khách hàng/đối tác đúng thời gian cam kết (SLA): 15 điểm.</w:t>
      </w:r>
    </w:p>
    <w:p w:rsidR="00000000" w:rsidDel="00000000" w:rsidP="00000000" w:rsidRDefault="00000000" w:rsidRPr="00000000" w14:paraId="0000015B">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Bị khách hàng khiếu nại về thái độ hoặc sự chậm trễ: Trừ 10 điểm/lần.</w:t>
      </w:r>
    </w:p>
    <w:p w:rsidR="00000000" w:rsidDel="00000000" w:rsidP="00000000" w:rsidRDefault="00000000" w:rsidRPr="00000000" w14:paraId="0000015C">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Khả năng giải quyết vấn đề phát sinh (15 điểm):</w:t>
      </w:r>
      <w:r w:rsidDel="00000000" w:rsidR="00000000" w:rsidRPr="00000000">
        <w:rPr>
          <w:rtl w:val="0"/>
        </w:rPr>
      </w:r>
    </w:p>
    <w:p w:rsidR="00000000" w:rsidDel="00000000" w:rsidP="00000000" w:rsidRDefault="00000000" w:rsidRPr="00000000" w14:paraId="0000015D">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Chủ động đề xuất phương án xử lý sự cố, giải trình tốt với cơ quan chức năng (nếu có yêu cầu): 15 điểm.</w:t>
      </w:r>
    </w:p>
    <w:p w:rsidR="00000000" w:rsidDel="00000000" w:rsidP="00000000" w:rsidRDefault="00000000" w:rsidRPr="00000000" w14:paraId="0000015E">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Thụ động, phải để quản lý trực tiếp can thiệp giải quyết 100%: 0 điểm.</w:t>
      </w:r>
    </w:p>
    <w:p w:rsidR="00000000" w:rsidDel="00000000" w:rsidP="00000000" w:rsidRDefault="00000000" w:rsidRPr="00000000" w14:paraId="0000015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3. Nhóm chỉ tiêu Kỷ luật và Phát triển năng lực (Trọng số: 20% - Tối đa 20 điểm)</w:t>
      </w:r>
      <w:r w:rsidDel="00000000" w:rsidR="00000000" w:rsidRPr="00000000">
        <w:rPr>
          <w:rtl w:val="0"/>
        </w:rPr>
      </w:r>
    </w:p>
    <w:p w:rsidR="00000000" w:rsidDel="00000000" w:rsidP="00000000" w:rsidRDefault="00000000" w:rsidRPr="00000000" w14:paraId="00000160">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Tuân thủ nội quy, giờ giấc (10 điểm):</w:t>
      </w:r>
      <w:r w:rsidDel="00000000" w:rsidR="00000000" w:rsidRPr="00000000">
        <w:rPr>
          <w:rtl w:val="0"/>
        </w:rPr>
      </w:r>
    </w:p>
    <w:p w:rsidR="00000000" w:rsidDel="00000000" w:rsidP="00000000" w:rsidRDefault="00000000" w:rsidRPr="00000000" w14:paraId="00000161">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Chấm công đầy đủ, không đi muộn về sớm sai quy định: 10 điểm.</w:t>
      </w:r>
    </w:p>
    <w:p w:rsidR="00000000" w:rsidDel="00000000" w:rsidP="00000000" w:rsidRDefault="00000000" w:rsidRPr="00000000" w14:paraId="00000162">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Vi phạm nội quy (quên chấm công, đi muộn quá số lần cho phép): Trừ 2 điểm/lần.</w:t>
      </w:r>
    </w:p>
    <w:p w:rsidR="00000000" w:rsidDel="00000000" w:rsidP="00000000" w:rsidRDefault="00000000" w:rsidRPr="00000000" w14:paraId="00000163">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Chủ động cập nhật kiến thức &amp; Đào tạo nội bộ (10 điểm):</w:t>
      </w:r>
      <w:r w:rsidDel="00000000" w:rsidR="00000000" w:rsidRPr="00000000">
        <w:rPr>
          <w:rtl w:val="0"/>
        </w:rPr>
      </w:r>
    </w:p>
    <w:p w:rsidR="00000000" w:rsidDel="00000000" w:rsidP="00000000" w:rsidRDefault="00000000" w:rsidRPr="00000000" w14:paraId="00000164">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Chủ động cập nhật các văn bản luật mới, quy định mới áp dụng vào công việc và chia sẻ với team: 10 điểm.</w:t>
      </w:r>
    </w:p>
    <w:p w:rsidR="00000000" w:rsidDel="00000000" w:rsidP="00000000" w:rsidRDefault="00000000" w:rsidRPr="00000000" w14:paraId="00000165">
      <w:pPr>
        <w:tabs>
          <w:tab w:val="left" w:leader="none" w:pos="144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Không tham gia các buổi đào tạo nội bộ không có lý do chính đáng: 0 điểm.</w:t>
      </w:r>
    </w:p>
    <w:p w:rsidR="00000000" w:rsidDel="00000000" w:rsidP="00000000" w:rsidRDefault="00000000" w:rsidRPr="00000000" w14:paraId="00000166">
      <w:pPr>
        <w:spacing w:after="0" w:line="360" w:lineRule="auto"/>
        <w:jc w:val="both"/>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III. PHƯƠNG PHÁP TÍNH LƯƠNG NĂNG SUẤT (LƯƠNG KPI)</w:t>
      </w:r>
    </w:p>
    <w:p w:rsidR="00000000" w:rsidDel="00000000" w:rsidP="00000000" w:rsidRDefault="00000000" w:rsidRPr="00000000" w14:paraId="0000016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Lương năng suất thực nhận của tháng sẽ được tính dựa trên tổng điểm đánh giá cuối cùng và quỹ lương năng suất tối đa của vị trí đó.</w:t>
      </w:r>
    </w:p>
    <w:p w:rsidR="00000000" w:rsidDel="00000000" w:rsidP="00000000" w:rsidRDefault="00000000" w:rsidRPr="00000000" w14:paraId="00000168">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Công thức tính:</w:t>
      </w:r>
      <w:r w:rsidDel="00000000" w:rsidR="00000000" w:rsidRPr="00000000">
        <w:rPr>
          <w:rtl w:val="0"/>
        </w:rPr>
      </w:r>
    </w:p>
    <w:p w:rsidR="00000000" w:rsidDel="00000000" w:rsidP="00000000" w:rsidRDefault="00000000" w:rsidRPr="00000000" w14:paraId="0000016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Lương KPI thực nhận = Lương KPI tối đa (theo HĐLĐ) x Tỷ lệ hưởng lương KPI</w:t>
      </w:r>
      <w:r w:rsidDel="00000000" w:rsidR="00000000" w:rsidRPr="00000000">
        <w:rPr>
          <w:rtl w:val="0"/>
        </w:rPr>
      </w:r>
    </w:p>
    <w:p w:rsidR="00000000" w:rsidDel="00000000" w:rsidP="00000000" w:rsidRDefault="00000000" w:rsidRPr="00000000" w14:paraId="0000016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Bảng quy đổi Tỷ lệ hưởng lương KPI theo điểm số:</w:t>
      </w:r>
      <w:r w:rsidDel="00000000" w:rsidR="00000000" w:rsidRPr="00000000">
        <w:rPr>
          <w:rtl w:val="0"/>
        </w:rPr>
      </w:r>
    </w:p>
    <w:p w:rsidR="00000000" w:rsidDel="00000000" w:rsidP="00000000" w:rsidRDefault="00000000" w:rsidRPr="00000000" w14:paraId="0000016B">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Từ 95 - 100 điểm (Xuất sắc):</w:t>
      </w:r>
      <w:r w:rsidDel="00000000" w:rsidR="00000000" w:rsidRPr="00000000">
        <w:rPr>
          <w:rFonts w:ascii="Times New Roman" w:cs="Times New Roman" w:eastAsia="Times New Roman" w:hAnsi="Times New Roman"/>
          <w:sz w:val="24"/>
          <w:szCs w:val="24"/>
          <w:vertAlign w:val="baseline"/>
          <w:rtl w:val="0"/>
        </w:rPr>
        <w:t xml:space="preserve"> Hưởng 100% Lương KPI. (Cộng thêm điểm thưởng tích lũy xét tăng lương/thưởng cuối năm).</w:t>
      </w:r>
    </w:p>
    <w:p w:rsidR="00000000" w:rsidDel="00000000" w:rsidP="00000000" w:rsidRDefault="00000000" w:rsidRPr="00000000" w14:paraId="0000016C">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Từ 85 - 94 điểm (Khá - Tốt):</w:t>
      </w:r>
      <w:r w:rsidDel="00000000" w:rsidR="00000000" w:rsidRPr="00000000">
        <w:rPr>
          <w:rFonts w:ascii="Times New Roman" w:cs="Times New Roman" w:eastAsia="Times New Roman" w:hAnsi="Times New Roman"/>
          <w:sz w:val="24"/>
          <w:szCs w:val="24"/>
          <w:vertAlign w:val="baseline"/>
          <w:rtl w:val="0"/>
        </w:rPr>
        <w:t xml:space="preserve"> Hưởng 90% Lương KPI.</w:t>
      </w:r>
    </w:p>
    <w:p w:rsidR="00000000" w:rsidDel="00000000" w:rsidP="00000000" w:rsidRDefault="00000000" w:rsidRPr="00000000" w14:paraId="0000016D">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Từ 70 - 84 điểm (Đạt yêu cầu):</w:t>
      </w:r>
      <w:r w:rsidDel="00000000" w:rsidR="00000000" w:rsidRPr="00000000">
        <w:rPr>
          <w:rFonts w:ascii="Times New Roman" w:cs="Times New Roman" w:eastAsia="Times New Roman" w:hAnsi="Times New Roman"/>
          <w:sz w:val="24"/>
          <w:szCs w:val="24"/>
          <w:vertAlign w:val="baseline"/>
          <w:rtl w:val="0"/>
        </w:rPr>
        <w:t xml:space="preserve"> Hưởng 80% Lương KPI.</w:t>
      </w:r>
    </w:p>
    <w:p w:rsidR="00000000" w:rsidDel="00000000" w:rsidP="00000000" w:rsidRDefault="00000000" w:rsidRPr="00000000" w14:paraId="0000016E">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Từ 50 - 69 điểm (Cần cố gắng):</w:t>
      </w:r>
      <w:r w:rsidDel="00000000" w:rsidR="00000000" w:rsidRPr="00000000">
        <w:rPr>
          <w:rFonts w:ascii="Times New Roman" w:cs="Times New Roman" w:eastAsia="Times New Roman" w:hAnsi="Times New Roman"/>
          <w:sz w:val="24"/>
          <w:szCs w:val="24"/>
          <w:vertAlign w:val="baseline"/>
          <w:rtl w:val="0"/>
        </w:rPr>
        <w:t xml:space="preserve"> Hưởng 60% Lương KPI. Quản lý trực tiếp phải có buổi họp Review để chấn chỉnh.</w:t>
      </w:r>
    </w:p>
    <w:p w:rsidR="00000000" w:rsidDel="00000000" w:rsidP="00000000" w:rsidRDefault="00000000" w:rsidRPr="00000000" w14:paraId="0000016F">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Dưới 50 điểm (Không đạt):</w:t>
      </w:r>
      <w:r w:rsidDel="00000000" w:rsidR="00000000" w:rsidRPr="00000000">
        <w:rPr>
          <w:rFonts w:ascii="Times New Roman" w:cs="Times New Roman" w:eastAsia="Times New Roman" w:hAnsi="Times New Roman"/>
          <w:sz w:val="24"/>
          <w:szCs w:val="24"/>
          <w:vertAlign w:val="baseline"/>
          <w:rtl w:val="0"/>
        </w:rPr>
        <w:t xml:space="preserve"> Hưởng 0% Lương KPI. (Nếu 2 tháng liên tiếp dưới 50 điểm, Công ty có quyền xem xét đánh giá lại năng lực hoặc chấm dứt HĐLĐ theo quy định pháp luật).</w:t>
      </w:r>
    </w:p>
    <w:p w:rsidR="00000000" w:rsidDel="00000000" w:rsidP="00000000" w:rsidRDefault="00000000" w:rsidRPr="00000000" w14:paraId="00000170">
      <w:pPr>
        <w:spacing w:after="0" w:line="360" w:lineRule="auto"/>
        <w:jc w:val="both"/>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IV. QUY TRÌNH THỰC HIỆN VÀ KHIẾU NẠI</w:t>
      </w:r>
    </w:p>
    <w:p w:rsidR="00000000" w:rsidDel="00000000" w:rsidP="00000000" w:rsidRDefault="00000000" w:rsidRPr="00000000" w14:paraId="00000171">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Người lao động tiến hành tự đánh giá và chấm điểm công việc của mình trên hệ thống/Biểu mẫu trước ngày cuối tháng.</w:t>
      </w:r>
    </w:p>
    <w:p w:rsidR="00000000" w:rsidDel="00000000" w:rsidP="00000000" w:rsidRDefault="00000000" w:rsidRPr="00000000" w14:paraId="00000172">
      <w:pPr>
        <w:tabs>
          <w:tab w:val="left" w:leader="none" w:pos="720"/>
        </w:tabs>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Trưởng bộ phận đánh giá lại, duyệt điểm và có phản hồi (feedback) trực tiếp 1-1 với nhân sự nếu có sự chênh lệch điểm số lớn.</w:t>
      </w:r>
    </w:p>
    <w:p w:rsidR="00000000" w:rsidDel="00000000" w:rsidP="00000000" w:rsidRDefault="00000000" w:rsidRPr="00000000" w14:paraId="00000173">
      <w:pPr>
        <w:spacing w:after="120" w:before="120" w:lineRule="auto"/>
        <w:jc w:val="left"/>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Nếu người lao động không đồng ý với kết quả đánh giá của Trưởng bộ phận, có quyền làm đơn khiếu nại gửi lên Ban Giám đốc hoặc bộ phận HCNS trong vòng 02 ngày làm việc kể từ khi nhận kết quả. Quyết định của Giám đốc là quyết định cuối cùng</w:t>
      </w:r>
      <w:r w:rsidDel="00000000" w:rsidR="00000000" w:rsidRPr="00000000">
        <w:rPr>
          <w:rtl w:val="0"/>
        </w:rPr>
      </w:r>
    </w:p>
    <w:sectPr>
      <w:type w:val="nextPage"/>
      <w:pgSz w:h="15840" w:w="12240" w:orient="portrait"/>
      <w:pgMar w:bottom="851" w:top="851" w:left="1134" w:right="851" w:header="862" w:footer="1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Georgi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jc w:val="center"/>
    </w:pPr>
    <w:rPr>
      <w:rFonts w:ascii="Cambria" w:cs="Cambria" w:eastAsia="Cambria" w:hAnsi="Cambria"/>
      <w:b w:val="1"/>
      <w:bCs w:val="1"/>
      <w:sz w:val="32"/>
      <w:szCs w:val="32"/>
      <w:vertAlign w:val="baseline"/>
    </w:rPr>
  </w:style>
  <w:style w:type="paragraph" w:styleId="Heading2">
    <w:name w:val="heading 2"/>
    <w:basedOn w:val="Normal"/>
    <w:next w:val="Normal"/>
    <w:pPr>
      <w:keepNext w:val="1"/>
      <w:jc w:val="both"/>
    </w:pPr>
    <w:rPr>
      <w:rFonts w:ascii="Arial" w:cs="Arial" w:eastAsia="Arial" w:hAnsi="Arial"/>
      <w:b w:val="1"/>
      <w:bCs w:val="1"/>
      <w:sz w:val="28"/>
      <w:szCs w:val="28"/>
      <w:vertAlign w:val="baseline"/>
    </w:rPr>
  </w:style>
  <w:style w:type="paragraph" w:styleId="Heading3">
    <w:name w:val="heading 3"/>
    <w:basedOn w:val="Normal"/>
    <w:next w:val="Normal"/>
    <w:pPr>
      <w:keepNext w:val="1"/>
      <w:spacing w:after="60" w:before="240" w:lineRule="auto"/>
      <w:jc w:val="center"/>
    </w:pPr>
    <w:rPr>
      <w:rFonts w:ascii="Cambria" w:cs="Cambria" w:eastAsia="Cambria" w:hAnsi="Cambria"/>
      <w:b w:val="1"/>
      <w:bCs w:val="1"/>
      <w:sz w:val="26"/>
      <w:szCs w:val="26"/>
      <w:vertAlign w:val="baseline"/>
    </w:rPr>
  </w:style>
  <w:style w:type="paragraph" w:styleId="Heading4">
    <w:name w:val="heading 4"/>
    <w:basedOn w:val="Normal"/>
    <w:next w:val="Normal"/>
    <w:pPr>
      <w:spacing w:before="220" w:lineRule="auto"/>
      <w:ind w:left="144"/>
      <w:jc w:val="both"/>
    </w:pPr>
    <w:rPr>
      <w:rFonts w:ascii="Times New Roman" w:cs="Times New Roman" w:eastAsia="Times New Roman" w:hAnsi="Times New Roman"/>
      <w:b w:val="1"/>
      <w:bCs w:val="1"/>
      <w:sz w:val="26"/>
      <w:szCs w:val="26"/>
      <w:vertAlign w:val="baseline"/>
    </w:rPr>
  </w:style>
  <w:style w:type="paragraph" w:styleId="Heading5">
    <w:name w:val="heading 5"/>
    <w:basedOn w:val="Normal"/>
    <w:next w:val="Normal"/>
    <w:pPr>
      <w:keepNext w:val="1"/>
      <w:spacing w:after="40" w:before="40" w:line="300" w:lineRule="auto"/>
      <w:ind w:firstLine="720"/>
      <w:jc w:val="both"/>
    </w:pPr>
    <w:rPr>
      <w:rFonts w:ascii="Century Schoolbook" w:cs="Century Schoolbook" w:eastAsia="Century Schoolbook" w:hAnsi="Century Schoolbook"/>
      <w:b w:val="1"/>
      <w:bCs w:val="1"/>
      <w:sz w:val="28"/>
      <w:szCs w:val="28"/>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0.0" w:type="dxa"/>
        <w:bottom w:w="0.0" w:type="dxa"/>
        <w:right w:w="0.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0.0" w:type="dxa"/>
        <w:bottom w:w="0.0" w:type="dxa"/>
        <w:right w:w="0.0" w:type="dxa"/>
      </w:tblCellMar>
    </w:tblPr>
  </w:style>
  <w:style w:type="table" w:styleId="Table5">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ToYU4Kc5jxI9IaPA7AIwOnEOow==">CgMxLjAyDmgueWhsODU1dXc2M3dyMg5oLnk2ZG43OXY1YnB2eTIOaC45OTRmbjM2MW1iYnUyDmguODE0b2NxcmdleTJvMg5oLjF0cjJkcHBuZjQyZzIOaC45aDVyZ3p2Y2kzM3IyDmguYnNicncxcmo3Mzk3Mg5oLjEwcGF6dGV4cWRvMDINaC5zZnhoYWxvdGlnbzgAciExNWJiLW1lbHJJeTk3eE1ZU2k4MUlHRFNXWXJveFhaMGs=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eyJoZGlkIjoiYjZlZThmOTZkNDg2NTE5YzQ1ZjQ0MDY2M2FhZWI4MGIifQ==</vt:lpwstr>
  </property>
  <property fmtid="{D5CDD505-2E9C-101B-9397-08002B2CF9AE}" pid="3" name="KSOProductBuildVer">
    <vt:lpwstr>1033-12.1.0.26880</vt:lpwstr>
  </property>
  <property fmtid="{D5CDD505-2E9C-101B-9397-08002B2CF9AE}" pid="4" name="ICV">
    <vt:lpwstr>4264BC1DE8334138BCF626E7D58FEE0C_12</vt:lpwstr>
  </property>
</Properties>
</file>