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648"/>
        <w:gridCol w:w="5992"/>
      </w:tblGrid>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b/>
                <w:bCs/>
                <w:rtl w:val="0"/>
              </w:rPr>
              <w:br/>
            </w:r>
            <w:r>
              <w:rPr>
                <w:b/>
                <w:bCs/>
                <w:rtl w:val="0"/>
              </w:rPr>
              <w:t>-------</w:t>
            </w:r>
          </w:p>
        </w:tc>
        <w:tc>
          <w:tcPr>
            <w:tcW w:w="5776"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99/2024/NĐ-CP</w:t>
            </w:r>
          </w:p>
        </w:tc>
        <w:tc>
          <w:tcPr>
            <w:tcW w:w="5776"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26 tháng 7 năm 2024</w:t>
            </w:r>
          </w:p>
        </w:tc>
      </w:tr>
    </w:tbl>
    <w:p>
      <w:pPr>
        <w:bidi w:val="0"/>
        <w:spacing w:before="120" w:beforeAutospacing="0" w:after="280" w:afterAutospacing="1"/>
      </w:pPr>
      <w:r>
        <w:rPr>
          <w:rtl w:val="0"/>
        </w:rPr>
        <w:t> </w:t>
      </w:r>
    </w:p>
    <w:p>
      <w:pPr>
        <w:bidi w:val="0"/>
        <w:spacing w:before="120" w:beforeAutospacing="0" w:after="280" w:afterAutospacing="1"/>
        <w:jc w:val="center"/>
        <w:rPr>
          <w:rtl w:val="0"/>
        </w:rPr>
      </w:pPr>
      <w:bookmarkStart w:id="0" w:name="loai_1"/>
      <w:r>
        <w:rPr>
          <w:b/>
          <w:bCs/>
          <w:sz w:val="24"/>
          <w:rtl w:val="0"/>
        </w:rPr>
        <w:t>NGHỊ ĐỊNH</w:t>
      </w:r>
      <w:bookmarkEnd w:id="0"/>
    </w:p>
    <w:p>
      <w:pPr>
        <w:bidi w:val="0"/>
        <w:spacing w:before="120" w:beforeAutospacing="0" w:after="280" w:afterAutospacing="1"/>
        <w:jc w:val="center"/>
        <w:rPr>
          <w:rtl w:val="0"/>
        </w:rPr>
      </w:pPr>
      <w:bookmarkStart w:id="1" w:name="loai_1_name"/>
      <w:r>
        <w:rPr>
          <w:rtl w:val="0"/>
        </w:rPr>
        <w:t>SỬA ĐỔI, BỔ SUNG ĐIỂM P KHOẢN 1 ĐIỀU 2 NGHỊ ĐỊNH SỐ 83/2022/NĐ-CP NGÀY 18 THÁNG 10 NĂM 2022 CỦA CHÍNH PHỦ QUY ĐỊNH VỀ NGHỈ HƯU Ở TUỔI CAO HƠN ĐỐI VỚI CÁN BỘ, CÔNG CHỨC GIỮ CHỨC VỤ LÃNH ĐẠO, QUẢN LÝ</w:t>
      </w:r>
      <w:bookmarkEnd w:id="1"/>
    </w:p>
    <w:p>
      <w:pPr>
        <w:bidi w:val="0"/>
        <w:spacing w:before="120" w:beforeAutospacing="0" w:after="280" w:afterAutospacing="1"/>
        <w:rPr>
          <w:rtl w:val="0"/>
        </w:rPr>
      </w:pPr>
      <w:r>
        <w:rPr>
          <w:i/>
          <w:iCs/>
          <w:rtl w:val="0"/>
        </w:rPr>
        <w:t xml:space="preserve">Căn cứ </w:t>
      </w:r>
      <w:bookmarkStart w:id="2" w:name="tvpllink_jofmpsyqcp"/>
      <w:r>
        <w:rPr>
          <w:i/>
          <w:iCs/>
          <w:rtl w:val="0"/>
        </w:rPr>
        <w:t>Luật Tổ chức Chính phủ</w:t>
      </w:r>
      <w:bookmarkEnd w:id="2"/>
      <w:r>
        <w:rPr>
          <w:i/>
          <w:iCs/>
          <w:rtl w:val="0"/>
        </w:rPr>
        <w:t xml:space="preserve"> ngày 19 tháng 6 năm 2015; </w:t>
      </w:r>
      <w:bookmarkStart w:id="3" w:name="tvpllink_cdgudmonqm"/>
      <w:r>
        <w:rPr>
          <w:i/>
          <w:iCs/>
          <w:rtl w:val="0"/>
        </w:rPr>
        <w:t>Luật sửa đổi, bổ sung một số điều của Luật Tổ chức Chính phủ và Luật Tổ chức Chính quyền địa phương</w:t>
      </w:r>
      <w:bookmarkEnd w:id="3"/>
      <w:r>
        <w:rPr>
          <w:i/>
          <w:iCs/>
          <w:rtl w:val="0"/>
        </w:rPr>
        <w:t xml:space="preserve"> ngày 22 tháng 11 năm 2019;</w:t>
      </w:r>
    </w:p>
    <w:p>
      <w:pPr>
        <w:bidi w:val="0"/>
        <w:spacing w:before="120" w:beforeAutospacing="0" w:after="280" w:afterAutospacing="1"/>
        <w:rPr>
          <w:rtl w:val="0"/>
        </w:rPr>
      </w:pPr>
      <w:r>
        <w:rPr>
          <w:i/>
          <w:iCs/>
          <w:rtl w:val="0"/>
        </w:rPr>
        <w:t xml:space="preserve">Căn cứ </w:t>
      </w:r>
      <w:bookmarkStart w:id="4" w:name="tvpllink_nbilipmzhq"/>
      <w:r>
        <w:rPr>
          <w:i/>
          <w:iCs/>
          <w:rtl w:val="0"/>
        </w:rPr>
        <w:t>Bộ luật Lao động</w:t>
      </w:r>
      <w:bookmarkEnd w:id="4"/>
      <w:r>
        <w:rPr>
          <w:i/>
          <w:iCs/>
          <w:rtl w:val="0"/>
        </w:rPr>
        <w:t xml:space="preserve"> ngày 20 tháng 11 năm 2019;</w:t>
      </w:r>
    </w:p>
    <w:p>
      <w:pPr>
        <w:bidi w:val="0"/>
        <w:spacing w:before="120" w:beforeAutospacing="0" w:after="280" w:afterAutospacing="1"/>
        <w:rPr>
          <w:rtl w:val="0"/>
        </w:rPr>
      </w:pPr>
      <w:r>
        <w:rPr>
          <w:i/>
          <w:iCs/>
          <w:rtl w:val="0"/>
        </w:rPr>
        <w:t xml:space="preserve">Căn cứ </w:t>
      </w:r>
      <w:bookmarkStart w:id="5" w:name="tvpllink_gumcmwraco"/>
      <w:r>
        <w:rPr>
          <w:i/>
          <w:iCs/>
          <w:rtl w:val="0"/>
        </w:rPr>
        <w:t>Luật Cán bộ, công chức</w:t>
      </w:r>
      <w:bookmarkEnd w:id="5"/>
      <w:r>
        <w:rPr>
          <w:i/>
          <w:iCs/>
          <w:rtl w:val="0"/>
        </w:rPr>
        <w:t xml:space="preserve"> ngày 13 tháng 11 năm 2008; </w:t>
      </w:r>
      <w:bookmarkStart w:id="6" w:name="tvpllink_txueccitjt"/>
      <w:r>
        <w:rPr>
          <w:i/>
          <w:iCs/>
          <w:rtl w:val="0"/>
        </w:rPr>
        <w:t>Luật sửa đổi, bổ sung một số điều của Luật Cán bộ, công chức và Luật Viên chức</w:t>
      </w:r>
      <w:bookmarkEnd w:id="6"/>
      <w:r>
        <w:rPr>
          <w:i/>
          <w:iCs/>
          <w:rtl w:val="0"/>
        </w:rPr>
        <w:t xml:space="preserve"> ngày 25 tháng 11 năm 2019;</w:t>
      </w:r>
    </w:p>
    <w:p>
      <w:pPr>
        <w:bidi w:val="0"/>
        <w:spacing w:before="120" w:beforeAutospacing="0" w:after="280" w:afterAutospacing="1"/>
        <w:rPr>
          <w:rtl w:val="0"/>
        </w:rPr>
      </w:pPr>
      <w:r>
        <w:rPr>
          <w:i/>
          <w:iCs/>
          <w:rtl w:val="0"/>
        </w:rPr>
        <w:t>Theo đề nghị của Bộ trưởng Bộ Nội vụ;</w:t>
      </w:r>
    </w:p>
    <w:p>
      <w:pPr>
        <w:bidi w:val="0"/>
        <w:spacing w:before="120" w:beforeAutospacing="0" w:after="280" w:afterAutospacing="1"/>
        <w:rPr>
          <w:rtl w:val="0"/>
        </w:rPr>
      </w:pPr>
      <w:r>
        <w:rPr>
          <w:i/>
          <w:iCs/>
          <w:rtl w:val="0"/>
        </w:rPr>
        <w:t xml:space="preserve">Chính phủ ban hành Nghị định sửa đổi, bổ sung điểm p khoản 1 Điều 2 Nghị định số </w:t>
      </w:r>
      <w:bookmarkStart w:id="7" w:name="tvpllink_gtzfebkiyd"/>
      <w:r>
        <w:rPr>
          <w:i/>
          <w:iCs/>
          <w:rtl w:val="0"/>
        </w:rPr>
        <w:t>83/2022/NĐ-CP</w:t>
      </w:r>
      <w:bookmarkEnd w:id="7"/>
      <w:r>
        <w:rPr>
          <w:i/>
          <w:iCs/>
          <w:rtl w:val="0"/>
        </w:rPr>
        <w:t xml:space="preserve"> ngày 18 tháng 10 năm 2022 của Chính phủ quy định về nghỉ hưu ở tuổi cao hơn đối với cán bộ, công chức giữ chức vụ lãnh đạo, quản lý.</w:t>
      </w:r>
    </w:p>
    <w:p>
      <w:pPr>
        <w:bidi w:val="0"/>
        <w:spacing w:before="120" w:beforeAutospacing="0" w:after="280" w:afterAutospacing="1"/>
        <w:rPr>
          <w:rtl w:val="0"/>
        </w:rPr>
      </w:pPr>
      <w:bookmarkStart w:id="8" w:name="dieu_1"/>
      <w:r>
        <w:rPr>
          <w:b/>
          <w:bCs/>
          <w:rtl w:val="0"/>
        </w:rPr>
        <w:t>Điều 1. Sửa đổi</w:t>
      </w:r>
      <w:bookmarkEnd w:id="8"/>
      <w:r>
        <w:rPr>
          <w:b/>
          <w:bCs/>
          <w:rtl w:val="0"/>
        </w:rPr>
        <w:t xml:space="preserve"> </w:t>
      </w:r>
      <w:bookmarkStart w:id="9" w:name="dc_2"/>
      <w:r>
        <w:rPr>
          <w:b/>
          <w:bCs/>
          <w:rtl w:val="0"/>
        </w:rPr>
        <w:t>điểm p khoản 1 Điều 2 của Nghị định số 83/2022/NĐ-CP</w:t>
      </w:r>
      <w:bookmarkEnd w:id="9"/>
      <w:r>
        <w:rPr>
          <w:b/>
          <w:bCs/>
          <w:rtl w:val="0"/>
        </w:rPr>
        <w:t xml:space="preserve"> </w:t>
      </w:r>
      <w:bookmarkStart w:id="10" w:name="dieu_1_name"/>
      <w:r>
        <w:rPr>
          <w:b/>
          <w:bCs/>
          <w:rtl w:val="0"/>
        </w:rPr>
        <w:t>ngày 18 tháng 10 năm 2022 của Chính phủ quy định về nghỉ hưu ở tuổi cao hơn đối với cán bộ, công chức giữ chức vụ lãnh đạo, quản lý</w:t>
      </w:r>
      <w:bookmarkEnd w:id="10"/>
    </w:p>
    <w:p>
      <w:pPr>
        <w:bidi w:val="0"/>
        <w:spacing w:before="120" w:beforeAutospacing="0" w:after="280" w:afterAutospacing="1"/>
        <w:rPr>
          <w:rtl w:val="0"/>
        </w:rPr>
      </w:pPr>
      <w:r>
        <w:rPr>
          <w:rtl w:val="0"/>
        </w:rPr>
        <w:t>“p) Ủy viên Ban Thường vụ Thành ủy thành phố Hà Nội và Thành phố Hồ Chí Minh.”</w:t>
      </w:r>
    </w:p>
    <w:p>
      <w:pPr>
        <w:bidi w:val="0"/>
        <w:spacing w:before="120" w:beforeAutospacing="0" w:after="280" w:afterAutospacing="1"/>
        <w:rPr>
          <w:rtl w:val="0"/>
        </w:rPr>
      </w:pPr>
      <w:bookmarkStart w:id="11" w:name="dieu_2"/>
      <w:r>
        <w:rPr>
          <w:b/>
          <w:bCs/>
          <w:rtl w:val="0"/>
        </w:rPr>
        <w:t>Điều 2. Hiệu lực thi hành</w:t>
      </w:r>
      <w:bookmarkEnd w:id="11"/>
    </w:p>
    <w:p>
      <w:pPr>
        <w:bidi w:val="0"/>
        <w:spacing w:before="120" w:beforeAutospacing="0" w:after="280" w:afterAutospacing="1"/>
        <w:rPr>
          <w:rtl w:val="0"/>
        </w:rPr>
      </w:pPr>
      <w:r>
        <w:rPr>
          <w:rtl w:val="0"/>
        </w:rPr>
        <w:t>Nghị định này có hiệu lực thi hành kể từ ngày ký ban hành.</w:t>
      </w:r>
    </w:p>
    <w:p>
      <w:pPr>
        <w:bidi w:val="0"/>
        <w:spacing w:before="120" w:beforeAutospacing="0" w:after="280" w:afterAutospacing="1"/>
        <w:rPr>
          <w:rtl w:val="0"/>
        </w:rPr>
      </w:pPr>
      <w:bookmarkStart w:id="12" w:name="dieu_3"/>
      <w:r>
        <w:rPr>
          <w:b/>
          <w:bCs/>
          <w:rtl w:val="0"/>
        </w:rPr>
        <w:t>Điều 3. Trách nhiệm thi hành</w:t>
      </w:r>
      <w:bookmarkEnd w:id="12"/>
    </w:p>
    <w:p>
      <w:pPr>
        <w:bidi w:val="0"/>
        <w:spacing w:before="120" w:beforeAutospacing="0" w:after="280" w:afterAutospacing="1"/>
        <w:rPr>
          <w:rtl w:val="0"/>
        </w:rPr>
      </w:pPr>
      <w:r>
        <w:rPr>
          <w:rtl w:val="0"/>
        </w:rPr>
        <w:t>Bộ trưởng, Thủ trưởng cơ quan ngang bộ, Thủ trưởng cơ quan thuộc Chính phủ, Chủ tịch Ủy ban nhân dân tỉnh, thành phố trực thuộc trung ương và các cơ quan, tổ chức, cá nhân có liên quan chịu trách nhiệm thi hành Nghị định này.</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0" w:afterAutospacing="0"/>
              <w:rPr>
                <w:rtl w:val="0"/>
              </w:rPr>
            </w:pPr>
            <w:r>
              <w:rPr>
                <w:b/>
                <w:bCs/>
                <w:i/>
                <w:iCs/>
                <w:rtl w:val="0"/>
              </w:rPr>
              <w:br/>
            </w: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Giám sát tài chính Quốc gia;</w:t>
            </w:r>
            <w:r>
              <w:rPr>
                <w:sz w:val="16"/>
                <w:rtl w:val="0"/>
              </w:rPr>
              <w:br/>
            </w:r>
            <w:r>
              <w:rPr>
                <w:sz w:val="16"/>
                <w:rtl w:val="0"/>
              </w:rPr>
              <w:t>- Ngân hàng Chính sách xã hội;</w:t>
            </w:r>
            <w:r>
              <w:rPr>
                <w:sz w:val="16"/>
                <w:rtl w:val="0"/>
              </w:rPr>
              <w:br/>
            </w:r>
            <w:r>
              <w:rPr>
                <w:sz w:val="16"/>
                <w:rtl w:val="0"/>
              </w:rPr>
              <w:t>- Ngân hàng Phát triển Việt Nam;</w:t>
            </w:r>
            <w:r>
              <w:rPr>
                <w:sz w:val="16"/>
                <w:rtl w:val="0"/>
              </w:rPr>
              <w:br/>
            </w:r>
            <w:r>
              <w:rPr>
                <w:sz w:val="16"/>
                <w:rtl w:val="0"/>
              </w:rPr>
              <w:t>- Ủy ban trung ương Mặt trận Tổ quốc Việt Nam;</w:t>
            </w:r>
            <w:r>
              <w:rPr>
                <w:sz w:val="16"/>
                <w:rtl w:val="0"/>
              </w:rPr>
              <w:br/>
            </w:r>
            <w:r>
              <w:rPr>
                <w:sz w:val="16"/>
                <w:rtl w:val="0"/>
              </w:rPr>
              <w:t>- Cơ quan trung ương của các đoàn thể;</w:t>
            </w:r>
            <w:r>
              <w:rPr>
                <w:sz w:val="16"/>
                <w:rtl w:val="0"/>
              </w:rPr>
              <w:br/>
            </w:r>
            <w:r>
              <w:rPr>
                <w:sz w:val="16"/>
                <w:rtl w:val="0"/>
              </w:rPr>
              <w:t>- VPCP: BTCN, các PCN, Trợ lý TTg, TGĐ Cổng TTĐT,</w:t>
            </w:r>
            <w:r>
              <w:rPr>
                <w:sz w:val="16"/>
                <w:rtl w:val="0"/>
              </w:rPr>
              <w:br/>
            </w:r>
            <w:r>
              <w:rPr>
                <w:sz w:val="16"/>
                <w:rtl w:val="0"/>
              </w:rPr>
              <w:t>các Vụ, Cục, đơn vị trực thuộc, Công báo;</w:t>
            </w:r>
            <w:r>
              <w:rPr>
                <w:sz w:val="16"/>
                <w:rtl w:val="0"/>
              </w:rPr>
              <w:br/>
            </w:r>
            <w:r>
              <w:rPr>
                <w:sz w:val="16"/>
                <w:rtl w:val="0"/>
              </w:rPr>
              <w:t>- Lưu: VT, TCCV (2b).</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 xml:space="preserve">TM. CHÍNH PHỦ </w:t>
            </w:r>
            <w:r>
              <w:rPr>
                <w:b/>
                <w:bCs/>
                <w:rtl w:val="0"/>
              </w:rPr>
              <w:br/>
            </w:r>
            <w:r>
              <w:rPr>
                <w:b/>
                <w:bCs/>
                <w:rtl w:val="0"/>
              </w:rPr>
              <w:t>THỦ TƯỚNG</w:t>
            </w:r>
            <w:r>
              <w:rPr>
                <w:b/>
                <w:bCs/>
                <w:rtl w:val="0"/>
              </w:rPr>
              <w:br/>
            </w:r>
            <w:r>
              <w:rPr>
                <w:b/>
                <w:bCs/>
                <w:rtl w:val="0"/>
              </w:rPr>
              <w:br/>
            </w:r>
            <w:r>
              <w:rPr>
                <w:b/>
                <w:bCs/>
                <w:rtl w:val="0"/>
              </w:rPr>
              <w:br/>
            </w:r>
            <w:r>
              <w:rPr>
                <w:b/>
                <w:bCs/>
                <w:rtl w:val="0"/>
              </w:rPr>
              <w:br/>
            </w:r>
            <w:r>
              <w:rPr>
                <w:b/>
                <w:bCs/>
                <w:rtl w:val="0"/>
              </w:rPr>
              <w:br/>
            </w:r>
            <w:r>
              <w:rPr>
                <w:b/>
                <w:bCs/>
                <w:rtl w:val="0"/>
              </w:rPr>
              <w:t>Phạm Minh Chính</w:t>
            </w:r>
          </w:p>
        </w:tc>
      </w:tr>
    </w:tbl>
    <w:p>
      <w:pPr>
        <w:bidi w:val="0"/>
        <w:spacing w:after="280" w:afterAutospacing="1"/>
        <w:rPr>
          <w:rtl w:val="0"/>
        </w:rPr>
      </w:pPr>
      <w:r>
        <w:rPr>
          <w:b/>
          <w:bCs/>
          <w:rtl w:val="0"/>
        </w:rPr>
        <w:t> </w:t>
      </w:r>
    </w:p>
    <w:sectPr>
      <w:footerReference w:type="default" r:id="rId5"/>
      <w:footerReference w:type="first" r:id="rId6"/>
      <w:footerReference w:type="even" r:id="rId7"/>
      <w:pgMar w:header="720" w:footer="720"/>
      <w:cols w:space="720"/>
    </w:sectPr>
  </w:body>
</w:document>
</file>

<file path=word/fontTable.xml><?xml version="1.0" encoding="utf-8"?>
<w:fonts xmlns:r="http://schemas.openxmlformats.org/officeDocument/2006/relationships" xmlns:w="http://schemas.openxmlformats.org/wordprocessingml/2006/main"/>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styles" Target="style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