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5.0.0 -->
  <w:body>
    <w:tbl>
      <w:tblPr>
        <w:jc w:val="left"/>
        <w:tblCellMar>
          <w:top w:w="0" w:type="dxa"/>
          <w:left w:w="0" w:type="dxa"/>
          <w:bottom w:w="0" w:type="dxa"/>
          <w:right w:w="0" w:type="dxa"/>
        </w:tblCellMar>
      </w:tblPr>
      <w:tblGrid>
        <w:gridCol w:w="2916"/>
        <w:gridCol w:w="5724"/>
      </w:tblGrid>
      <w:tr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left"/>
        </w:trPr>
        <w:tc>
          <w:tcPr>
            <w:tcW w:w="33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bidi w:val="0"/>
              <w:spacing w:after="0" w:afterAutospacing="0"/>
              <w:jc w:val="center"/>
              <w:rPr>
                <w:rtl w:val="0"/>
              </w:rPr>
            </w:pPr>
            <w:r>
              <w:rPr>
                <w:b/>
                <w:bCs/>
                <w:rtl w:val="0"/>
              </w:rPr>
              <w:t>BẢO HIỂM XÃ HỘI VIỆT NAM</w:t>
            </w:r>
            <w:r>
              <w:rPr>
                <w:b/>
                <w:bCs/>
                <w:rtl w:val="0"/>
              </w:rPr>
              <w:br/>
            </w:r>
            <w:r>
              <w:rPr>
                <w:b/>
                <w:bCs/>
                <w:rtl w:val="0"/>
              </w:rPr>
              <w:t>--------</w:t>
            </w:r>
          </w:p>
        </w:tc>
        <w:tc>
          <w:tcPr>
            <w:tcW w:w="55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bidi w:val="0"/>
              <w:spacing w:after="0" w:afterAutospacing="0"/>
              <w:jc w:val="center"/>
              <w:rPr>
                <w:rtl w:val="0"/>
              </w:rPr>
            </w:pPr>
            <w:r>
              <w:rPr>
                <w:b/>
                <w:bCs/>
                <w:rtl w:val="0"/>
              </w:rPr>
              <w:t>CỘNG HÒA XÃ HỘI CHỦ NGHĨA VIỆT NAM</w:t>
            </w:r>
            <w:r>
              <w:rPr>
                <w:b/>
                <w:bCs/>
                <w:rtl w:val="0"/>
              </w:rPr>
              <w:br/>
            </w:r>
            <w:r>
              <w:rPr>
                <w:b/>
                <w:bCs/>
                <w:rtl w:val="0"/>
              </w:rPr>
              <w:t xml:space="preserve">Độc lập - Tự do - Hạnh phúc </w:t>
            </w:r>
            <w:r>
              <w:rPr>
                <w:b/>
                <w:bCs/>
                <w:rtl w:val="0"/>
              </w:rPr>
              <w:br/>
            </w:r>
            <w:r>
              <w:rPr>
                <w:b/>
                <w:bCs/>
                <w:rtl w:val="0"/>
              </w:rPr>
              <w:t>---------------</w:t>
            </w:r>
          </w:p>
        </w:tc>
      </w:tr>
      <w:tr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left"/>
        </w:trPr>
        <w:tc>
          <w:tcPr>
            <w:tcW w:w="33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bidi w:val="0"/>
              <w:spacing w:after="0" w:afterAutospacing="0"/>
              <w:jc w:val="center"/>
              <w:rPr>
                <w:rtl w:val="0"/>
              </w:rPr>
            </w:pPr>
            <w:r>
              <w:rPr>
                <w:rtl w:val="0"/>
              </w:rPr>
              <w:t>Số: 811/QĐ-BHXH</w:t>
            </w:r>
          </w:p>
        </w:tc>
        <w:tc>
          <w:tcPr>
            <w:tcW w:w="55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bidi w:val="0"/>
              <w:spacing w:after="0" w:afterAutospacing="0"/>
              <w:jc w:val="right"/>
              <w:rPr>
                <w:rtl w:val="0"/>
              </w:rPr>
            </w:pPr>
            <w:r>
              <w:rPr>
                <w:i/>
                <w:iCs/>
                <w:rtl w:val="0"/>
              </w:rPr>
              <w:t>Hà Nội, ngày 16 tháng 08 năm 2021</w:t>
            </w:r>
          </w:p>
        </w:tc>
      </w:tr>
    </w:tbl>
    <w:p>
      <w:pPr>
        <w:bidi w:val="0"/>
        <w:spacing w:after="120" w:afterAutospacing="0"/>
        <w:jc w:val="center"/>
      </w:pPr>
      <w:r>
        <w:rPr>
          <w:rtl w:val="0"/>
        </w:rPr>
        <w:t> </w:t>
      </w:r>
    </w:p>
    <w:p>
      <w:pPr>
        <w:bidi w:val="0"/>
        <w:spacing w:after="120" w:afterAutospacing="0"/>
        <w:jc w:val="center"/>
      </w:pPr>
      <w:bookmarkStart w:id="0" w:name="loai_1"/>
      <w:r>
        <w:rPr>
          <w:b/>
          <w:bCs/>
          <w:sz w:val="24"/>
          <w:rtl w:val="0"/>
        </w:rPr>
        <w:t>QUYẾT ĐỊNH</w:t>
      </w:r>
      <w:bookmarkEnd w:id="0"/>
    </w:p>
    <w:p>
      <w:pPr>
        <w:bidi w:val="0"/>
        <w:spacing w:after="120" w:afterAutospacing="0"/>
        <w:jc w:val="center"/>
      </w:pPr>
      <w:bookmarkStart w:id="1" w:name="loai_1_name"/>
      <w:r>
        <w:rPr>
          <w:rtl w:val="0"/>
        </w:rPr>
        <w:t>SỬA ĐỔI, BỔ SUNG KHOẢN 3, ĐIỀU 3 QUY TRÌNH THU BẢO HIỂM XÃ HỘI, BẢO HIỂM Y TẾ, BẢO HIỂM THẤT NGHIỆP, BẢO HIỂM TAI NẠN LAO ĐỘNG, BỆNH NGHỀ NGHIỆP; QUẢN LÝ SỔ BẢO HIỂM XÃ HỘI, THẺ BẢO HIỂM Y TẾ BAN HÀNH KÈM THEO QUYẾT ĐỊNH SỐ 595/QĐ-BHXH NGÀY 14 THÁNG 4 NĂM 2017 CỦA TỔNG GIÁM ĐỐC BẢO HIỂM XÃ HỘI VIỆT NAM</w:t>
      </w:r>
      <w:bookmarkEnd w:id="1"/>
    </w:p>
    <w:p>
      <w:pPr>
        <w:bidi w:val="0"/>
        <w:spacing w:after="120" w:afterAutospacing="0"/>
        <w:jc w:val="center"/>
      </w:pPr>
      <w:r>
        <w:rPr>
          <w:b/>
          <w:bCs/>
          <w:sz w:val="24"/>
          <w:rtl w:val="0"/>
        </w:rPr>
        <w:t xml:space="preserve">TỔNG GIÁM ĐỐC BẢO HIỂM XÃ HỘI </w:t>
      </w:r>
      <w:r>
        <w:rPr>
          <w:b/>
          <w:bCs/>
          <w:caps/>
          <w:sz w:val="24"/>
          <w:rtl w:val="0"/>
        </w:rPr>
        <w:t>VIỆT</w:t>
      </w:r>
      <w:r>
        <w:rPr>
          <w:b/>
          <w:bCs/>
          <w:sz w:val="24"/>
          <w:rtl w:val="0"/>
        </w:rPr>
        <w:t xml:space="preserve"> NAM</w:t>
      </w:r>
    </w:p>
    <w:p>
      <w:pPr>
        <w:bidi w:val="0"/>
        <w:spacing w:after="120" w:afterAutospacing="0"/>
      </w:pPr>
      <w:r>
        <w:rPr>
          <w:i/>
          <w:iCs/>
          <w:rtl w:val="0"/>
        </w:rPr>
        <w:t xml:space="preserve">Căn cứ </w:t>
      </w:r>
      <w:bookmarkStart w:id="2" w:name="tvpllink_cdsqhkxstz"/>
      <w:r>
        <w:rPr>
          <w:i/>
          <w:iCs/>
          <w:rtl w:val="0"/>
        </w:rPr>
        <w:t>Luật Bảo hiểm xã hội số 58/2014/QH13</w:t>
      </w:r>
      <w:bookmarkEnd w:id="2"/>
      <w:r>
        <w:rPr>
          <w:i/>
          <w:iCs/>
          <w:rtl w:val="0"/>
        </w:rPr>
        <w:t xml:space="preserve"> ngày 20/11/2014;</w:t>
      </w:r>
    </w:p>
    <w:p>
      <w:pPr>
        <w:bidi w:val="0"/>
        <w:spacing w:after="120" w:afterAutospacing="0"/>
      </w:pPr>
      <w:r>
        <w:rPr>
          <w:i/>
          <w:iCs/>
          <w:rtl w:val="0"/>
        </w:rPr>
        <w:t xml:space="preserve">Căn cứ </w:t>
      </w:r>
      <w:bookmarkStart w:id="3" w:name="tvpllink_iogwzjxiui"/>
      <w:r>
        <w:rPr>
          <w:i/>
          <w:iCs/>
          <w:rtl w:val="0"/>
        </w:rPr>
        <w:t>Luật Bảo hiểm y tế số 25/2008/QH12</w:t>
      </w:r>
      <w:bookmarkEnd w:id="3"/>
      <w:r>
        <w:rPr>
          <w:i/>
          <w:iCs/>
          <w:rtl w:val="0"/>
        </w:rPr>
        <w:t xml:space="preserve"> ngày 14/11/2008; Luật số </w:t>
      </w:r>
      <w:bookmarkStart w:id="4" w:name="tvpllink_epwdphzyyh"/>
      <w:r>
        <w:rPr>
          <w:i/>
          <w:iCs/>
          <w:rtl w:val="0"/>
        </w:rPr>
        <w:t>46/2014/QH13</w:t>
      </w:r>
      <w:bookmarkEnd w:id="4"/>
      <w:r>
        <w:rPr>
          <w:i/>
          <w:iCs/>
          <w:rtl w:val="0"/>
        </w:rPr>
        <w:t xml:space="preserve"> ngày 13/6/2014 sửa đổi, bổ sung một số điều của </w:t>
      </w:r>
      <w:bookmarkStart w:id="5" w:name="tvpllink_iogwzjxiui_1"/>
      <w:r>
        <w:rPr>
          <w:i/>
          <w:iCs/>
          <w:rtl w:val="0"/>
        </w:rPr>
        <w:t>Luật Bảo hiểm y tế</w:t>
      </w:r>
      <w:bookmarkEnd w:id="5"/>
      <w:r>
        <w:rPr>
          <w:i/>
          <w:iCs/>
          <w:rtl w:val="0"/>
        </w:rPr>
        <w:t>;</w:t>
      </w:r>
    </w:p>
    <w:p>
      <w:pPr>
        <w:bidi w:val="0"/>
        <w:spacing w:after="120" w:afterAutospacing="0"/>
      </w:pPr>
      <w:r>
        <w:rPr>
          <w:i/>
          <w:iCs/>
          <w:rtl w:val="0"/>
        </w:rPr>
        <w:t xml:space="preserve">Căn cứ </w:t>
      </w:r>
      <w:bookmarkStart w:id="6" w:name="tvpllink_xdrexdonfe"/>
      <w:r>
        <w:rPr>
          <w:i/>
          <w:iCs/>
          <w:rtl w:val="0"/>
        </w:rPr>
        <w:t>Luật Việc làm số 38/2013/QH13</w:t>
      </w:r>
      <w:bookmarkEnd w:id="6"/>
      <w:r>
        <w:rPr>
          <w:i/>
          <w:iCs/>
          <w:rtl w:val="0"/>
        </w:rPr>
        <w:t xml:space="preserve"> ngày 16/11/2013;</w:t>
      </w:r>
    </w:p>
    <w:p>
      <w:pPr>
        <w:bidi w:val="0"/>
        <w:spacing w:after="120" w:afterAutospacing="0"/>
      </w:pPr>
      <w:r>
        <w:rPr>
          <w:i/>
          <w:iCs/>
          <w:rtl w:val="0"/>
        </w:rPr>
        <w:t xml:space="preserve">Căn cứ </w:t>
      </w:r>
      <w:bookmarkStart w:id="7" w:name="tvpllink_rnkvqnahsb"/>
      <w:r>
        <w:rPr>
          <w:i/>
          <w:iCs/>
          <w:rtl w:val="0"/>
        </w:rPr>
        <w:t>Luật An toàn, Vệ sinh lao động số 84/2015/QH13</w:t>
      </w:r>
      <w:bookmarkEnd w:id="7"/>
      <w:r>
        <w:rPr>
          <w:i/>
          <w:iCs/>
          <w:rtl w:val="0"/>
        </w:rPr>
        <w:t xml:space="preserve"> ngày 25/6/2015; </w:t>
      </w:r>
    </w:p>
    <w:p>
      <w:pPr>
        <w:bidi w:val="0"/>
        <w:spacing w:after="120" w:afterAutospacing="0"/>
      </w:pPr>
      <w:r>
        <w:rPr>
          <w:i/>
          <w:iCs/>
          <w:rtl w:val="0"/>
        </w:rPr>
        <w:t xml:space="preserve">Căn cứ Nghị định số </w:t>
      </w:r>
      <w:bookmarkStart w:id="8" w:name="tvpllink_lcjkqxikga"/>
      <w:r>
        <w:rPr>
          <w:i/>
          <w:iCs/>
          <w:rtl w:val="0"/>
        </w:rPr>
        <w:t>89/2020/NĐ-CP</w:t>
      </w:r>
      <w:bookmarkEnd w:id="8"/>
      <w:r>
        <w:rPr>
          <w:i/>
          <w:iCs/>
          <w:rtl w:val="0"/>
        </w:rPr>
        <w:t xml:space="preserve"> ngày 04/8/2020 của Chính phủ quy định chức năng, nhiệm vụ, quyền hạn và cơ cấu tổ chức của Bảo hiểm xã hội Việt Nam;</w:t>
      </w:r>
    </w:p>
    <w:p>
      <w:pPr>
        <w:bidi w:val="0"/>
        <w:spacing w:after="120" w:afterAutospacing="0"/>
      </w:pPr>
      <w:r>
        <w:rPr>
          <w:i/>
          <w:iCs/>
          <w:rtl w:val="0"/>
        </w:rPr>
        <w:t>Xét đề nghị của Trưởng Ban Quản lý Thu - Sổ, Thẻ.</w:t>
      </w:r>
    </w:p>
    <w:p>
      <w:pPr>
        <w:bidi w:val="0"/>
        <w:spacing w:after="120" w:afterAutospacing="0"/>
        <w:jc w:val="center"/>
      </w:pPr>
      <w:r>
        <w:rPr>
          <w:b/>
          <w:bCs/>
          <w:sz w:val="24"/>
          <w:rtl w:val="0"/>
        </w:rPr>
        <w:t>QUYẾT ĐỊNH:</w:t>
      </w:r>
    </w:p>
    <w:p>
      <w:pPr>
        <w:bidi w:val="0"/>
        <w:spacing w:after="120" w:afterAutospacing="0"/>
      </w:pPr>
      <w:bookmarkStart w:id="9" w:name="dieu_1"/>
      <w:r>
        <w:rPr>
          <w:b/>
          <w:bCs/>
          <w:rtl w:val="0"/>
        </w:rPr>
        <w:t>Điều 1.</w:t>
      </w:r>
      <w:bookmarkEnd w:id="9"/>
      <w:r>
        <w:rPr>
          <w:rtl w:val="0"/>
        </w:rPr>
        <w:t xml:space="preserve"> </w:t>
      </w:r>
      <w:bookmarkStart w:id="10" w:name="dieu_1_name"/>
      <w:r>
        <w:rPr>
          <w:rtl w:val="0"/>
        </w:rPr>
        <w:t>Bổ sung Điểm 3.3,</w:t>
      </w:r>
      <w:bookmarkEnd w:id="10"/>
      <w:r>
        <w:rPr>
          <w:rtl w:val="0"/>
        </w:rPr>
        <w:t xml:space="preserve"> </w:t>
      </w:r>
      <w:bookmarkStart w:id="11" w:name="dc_1"/>
      <w:r>
        <w:rPr>
          <w:rtl w:val="0"/>
        </w:rPr>
        <w:t>Khoản 3, Điều 3 Quy trình thu bảo hiểm xã hội (BHXH), bảo hiểm y tế (BHYT), bảo hiểm thất nghiệp, bảo hiểm tai nạn lao động, bệnh nghề nghiệp; quản lý sổ BHXH, thẻ BHYT ban hành kèm theo Quyết định số 595/QĐ-BHXH ngày 14/4/2017</w:t>
      </w:r>
      <w:bookmarkEnd w:id="11"/>
      <w:r>
        <w:rPr>
          <w:rtl w:val="0"/>
        </w:rPr>
        <w:t xml:space="preserve"> </w:t>
      </w:r>
      <w:bookmarkStart w:id="12" w:name="dieu_1_name_name"/>
      <w:r>
        <w:rPr>
          <w:rtl w:val="0"/>
        </w:rPr>
        <w:t>của Tổng Giám đốc BHXH Việt Nam như sau:</w:t>
      </w:r>
      <w:bookmarkEnd w:id="12"/>
    </w:p>
    <w:p>
      <w:pPr>
        <w:bidi w:val="0"/>
        <w:spacing w:after="120" w:afterAutospacing="0"/>
      </w:pPr>
      <w:r>
        <w:rPr>
          <w:rtl w:val="0"/>
        </w:rPr>
        <w:t xml:space="preserve">“3.3. BHXH huyện, tỉnh: Cấp lại, đổi thẻ BHYT không thay đổi thông tin theo mẫu thẻ BHYT ban hành kèm theo Quyết định số </w:t>
      </w:r>
      <w:bookmarkStart w:id="13" w:name="tvpllink_owcxylzian"/>
      <w:r>
        <w:rPr>
          <w:rtl w:val="0"/>
        </w:rPr>
        <w:t>1666/QĐ-BHXH</w:t>
      </w:r>
      <w:bookmarkEnd w:id="13"/>
      <w:r>
        <w:rPr>
          <w:rtl w:val="0"/>
        </w:rPr>
        <w:t xml:space="preserve"> ngày 03/12/2020 của Tổng Giám đốc BHXH Việt Nam cho người tham gia BHYT ở huyện, tỉnh khác.”</w:t>
      </w:r>
    </w:p>
    <w:p>
      <w:pPr>
        <w:bidi w:val="0"/>
        <w:spacing w:after="120" w:afterAutospacing="0"/>
      </w:pPr>
      <w:bookmarkStart w:id="14" w:name="dieu_2"/>
      <w:r>
        <w:rPr>
          <w:b/>
          <w:bCs/>
          <w:rtl w:val="0"/>
        </w:rPr>
        <w:t>Điều 2.</w:t>
      </w:r>
      <w:bookmarkEnd w:id="14"/>
      <w:r>
        <w:rPr>
          <w:b/>
          <w:bCs/>
          <w:rtl w:val="0"/>
        </w:rPr>
        <w:t xml:space="preserve"> </w:t>
      </w:r>
      <w:bookmarkStart w:id="15" w:name="dieu_2_name"/>
      <w:r>
        <w:rPr>
          <w:rtl w:val="0"/>
        </w:rPr>
        <w:t>Quyết định này có hiệu lực thi hành kể từ ngày ký ban hành.</w:t>
      </w:r>
      <w:bookmarkEnd w:id="15"/>
    </w:p>
    <w:p>
      <w:pPr>
        <w:bidi w:val="0"/>
        <w:spacing w:after="120" w:afterAutospacing="0"/>
      </w:pPr>
      <w:bookmarkStart w:id="16" w:name="dieu_3"/>
      <w:r>
        <w:rPr>
          <w:b/>
          <w:bCs/>
          <w:rtl w:val="0"/>
        </w:rPr>
        <w:t>Điều 3.</w:t>
      </w:r>
      <w:bookmarkEnd w:id="16"/>
      <w:r>
        <w:rPr>
          <w:b/>
          <w:bCs/>
          <w:rtl w:val="0"/>
        </w:rPr>
        <w:t xml:space="preserve"> </w:t>
      </w:r>
      <w:bookmarkStart w:id="17" w:name="dieu_3_name"/>
      <w:r>
        <w:rPr>
          <w:rtl w:val="0"/>
        </w:rPr>
        <w:t>Trưởng Ban Quản lý Thu - Sổ, Thẻ, Chánh Văn phòng, Thủ trưởng các đơn vị trực thuộc Bảo hiểm xã hội Việt Nam; Giám đốc Bảo hiểm xã hội các tỉnh, thành phố trực thuộc Trung ương chịu trách nhiệm thi hành Quyết định này./.</w:t>
      </w:r>
      <w:bookmarkEnd w:id="17"/>
    </w:p>
    <w:p>
      <w:pPr>
        <w:bidi w:val="0"/>
        <w:spacing w:after="120" w:afterAutospacing="0"/>
      </w:pPr>
      <w:r>
        <w:rPr>
          <w:rtl w:val="0"/>
        </w:rPr>
        <w:t> </w:t>
      </w:r>
    </w:p>
    <w:tbl>
      <w:tblPr>
        <w:jc w:val="left"/>
        <w:tblCellMar>
          <w:top w:w="0" w:type="dxa"/>
          <w:left w:w="0" w:type="dxa"/>
          <w:bottom w:w="0" w:type="dxa"/>
          <w:right w:w="0" w:type="dxa"/>
        </w:tblCellMar>
      </w:tblPr>
      <w:tblGrid>
        <w:gridCol w:w="4197"/>
        <w:gridCol w:w="4443"/>
      </w:tblGrid>
      <w:tr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left"/>
        </w:trPr>
        <w:tc>
          <w:tcPr>
            <w:tcW w:w="42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bidi w:val="0"/>
              <w:spacing w:after="120" w:afterAutospacing="0"/>
            </w:pPr>
            <w:r>
              <w:rPr>
                <w:sz w:val="16"/>
                <w:rtl w:val="0"/>
              </w:rPr>
              <w:t> </w:t>
            </w:r>
          </w:p>
          <w:p>
            <w:pPr>
              <w:bidi w:val="0"/>
              <w:spacing w:after="0" w:afterAutospacing="0"/>
              <w:rPr>
                <w:rtl w:val="0"/>
              </w:rPr>
            </w:pPr>
            <w:r>
              <w:rPr>
                <w:b/>
                <w:bCs/>
                <w:i/>
                <w:iCs/>
                <w:rtl w:val="0"/>
              </w:rPr>
              <w:t>Nơi nhận:</w:t>
            </w:r>
            <w:r>
              <w:rPr>
                <w:b/>
                <w:bCs/>
                <w:i/>
                <w:iCs/>
                <w:rtl w:val="0"/>
              </w:rPr>
              <w:br/>
            </w:r>
            <w:r>
              <w:rPr>
                <w:sz w:val="16"/>
                <w:rtl w:val="0"/>
              </w:rPr>
              <w:t>- Như Điều 3;</w:t>
            </w:r>
            <w:r>
              <w:rPr>
                <w:sz w:val="16"/>
                <w:rtl w:val="0"/>
              </w:rPr>
              <w:br/>
            </w:r>
            <w:r>
              <w:rPr>
                <w:sz w:val="16"/>
                <w:rtl w:val="0"/>
              </w:rPr>
              <w:t>- VPCP (để b/c TTg CP, các Phó TTg);</w:t>
            </w:r>
            <w:r>
              <w:rPr>
                <w:sz w:val="16"/>
                <w:rtl w:val="0"/>
              </w:rPr>
              <w:br/>
            </w:r>
            <w:r>
              <w:rPr>
                <w:sz w:val="16"/>
                <w:rtl w:val="0"/>
              </w:rPr>
              <w:t>- Các Bộ: LĐTB&amp;XH, TC, YT, NV, TP, QP, CA;</w:t>
            </w:r>
            <w:r>
              <w:rPr>
                <w:sz w:val="16"/>
                <w:rtl w:val="0"/>
              </w:rPr>
              <w:br/>
            </w:r>
            <w:r>
              <w:rPr>
                <w:sz w:val="16"/>
                <w:rtl w:val="0"/>
              </w:rPr>
              <w:t>- UBND tỉnh, TP trực thuộc TƯ;</w:t>
            </w:r>
            <w:r>
              <w:rPr>
                <w:sz w:val="16"/>
                <w:rtl w:val="0"/>
              </w:rPr>
              <w:br/>
            </w:r>
            <w:r>
              <w:rPr>
                <w:sz w:val="16"/>
                <w:rtl w:val="0"/>
              </w:rPr>
              <w:t>- HĐQL - BHXHVN;</w:t>
            </w:r>
            <w:r>
              <w:rPr>
                <w:sz w:val="16"/>
                <w:rtl w:val="0"/>
              </w:rPr>
              <w:br/>
            </w:r>
            <w:r>
              <w:rPr>
                <w:sz w:val="16"/>
                <w:rtl w:val="0"/>
              </w:rPr>
              <w:t>- TGĐ, các phó TGĐ;</w:t>
            </w:r>
            <w:r>
              <w:rPr>
                <w:sz w:val="16"/>
                <w:rtl w:val="0"/>
              </w:rPr>
              <w:br/>
            </w:r>
            <w:r>
              <w:rPr>
                <w:sz w:val="16"/>
                <w:rtl w:val="0"/>
              </w:rPr>
              <w:t>- Các đơn vị trực thuộc BHXH VN;</w:t>
            </w:r>
            <w:r>
              <w:rPr>
                <w:sz w:val="16"/>
                <w:rtl w:val="0"/>
              </w:rPr>
              <w:br/>
            </w:r>
            <w:r>
              <w:rPr>
                <w:sz w:val="16"/>
                <w:rtl w:val="0"/>
              </w:rPr>
              <w:t>- BHXH Bộ QP, CA;</w:t>
            </w:r>
            <w:r>
              <w:rPr>
                <w:sz w:val="16"/>
                <w:rtl w:val="0"/>
              </w:rPr>
              <w:br/>
            </w:r>
            <w:r>
              <w:rPr>
                <w:sz w:val="16"/>
                <w:rtl w:val="0"/>
              </w:rPr>
              <w:t>- Lưu: VT, TST.</w:t>
            </w:r>
          </w:p>
        </w:tc>
        <w:tc>
          <w:tcPr>
            <w:tcW w:w="4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bidi w:val="0"/>
              <w:spacing w:after="0" w:afterAutospacing="0"/>
              <w:jc w:val="center"/>
            </w:pPr>
            <w:r>
              <w:rPr>
                <w:b/>
                <w:bCs/>
                <w:rtl w:val="0"/>
              </w:rPr>
              <w:t>KT. TỔNG GIÁM ĐỐC</w:t>
            </w:r>
            <w:r>
              <w:rPr>
                <w:b/>
                <w:bCs/>
                <w:rtl w:val="0"/>
              </w:rPr>
              <w:br/>
            </w:r>
            <w:r>
              <w:rPr>
                <w:b/>
                <w:bCs/>
                <w:rtl w:val="0"/>
              </w:rPr>
              <w:t>PHÓ TỔNG GIÁM ĐỐC</w:t>
            </w:r>
            <w:r>
              <w:rPr>
                <w:b/>
                <w:bCs/>
                <w:rtl w:val="0"/>
              </w:rPr>
              <w:br/>
            </w:r>
            <w:r>
              <w:rPr>
                <w:b/>
                <w:bCs/>
                <w:rtl w:val="0"/>
              </w:rPr>
              <w:br/>
            </w:r>
            <w:r>
              <w:rPr>
                <w:b/>
                <w:bCs/>
                <w:rtl w:val="0"/>
              </w:rPr>
              <w:br/>
            </w:r>
            <w:r>
              <w:rPr>
                <w:b/>
                <w:bCs/>
                <w:rtl w:val="0"/>
              </w:rPr>
              <w:br/>
            </w:r>
            <w:r>
              <w:rPr>
                <w:b/>
                <w:bCs/>
                <w:rtl w:val="0"/>
              </w:rPr>
              <w:br/>
            </w:r>
            <w:r>
              <w:rPr>
                <w:b/>
                <w:bCs/>
                <w:rtl w:val="0"/>
              </w:rPr>
              <w:t>Trần Đình Liệu</w:t>
            </w:r>
          </w:p>
        </w:tc>
      </w:tr>
    </w:tbl>
    <w:p>
      <w:pPr>
        <w:bidi w:val="0"/>
        <w:spacing w:after="120" w:afterAutospacing="0"/>
      </w:pPr>
      <w:r>
        <w:rPr>
          <w:rtl w:val="0"/>
        </w:rPr>
        <w:t> </w:t>
      </w:r>
    </w:p>
    <w:sectPr>
      <w:footerReference w:type="default" r:id="rId5"/>
      <w:footerReference w:type="first" r:id="rId6"/>
      <w:footerReference w:type="even" r:id="rId7"/>
      <w:pgMar w:header="720" w:footer="72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i/>
        <w:color w:val="64748B"/>
        <w:sz w:val="16"/>
      </w:rPr>
      <w:t>SPRINGO CO.,LTD | 0969 798 944 | 0984 394 338 | WEB: hrspring.vn | YT: @quantrinhansuphattrientochuc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i/>
        <w:color w:val="64748B"/>
        <w:sz w:val="16"/>
      </w:rPr>
      <w:t>SPRINGO CO.,LTD | 0969 798 944 | 0984 394 338 | WEB: hrspring.vn | YT: @quantrinhansuphattrientochuc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i/>
        <w:color w:val="64748B"/>
        <w:sz w:val="16"/>
      </w:rPr>
      <w:t>SPRINGO CO.,LTD | 0969 798 944 | 0984 394 338 | WEB: hrspring.vn | YT: @quantrinhansuphattrientochuc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noPunctuationKerning/>
  <w:characterSpacingControl w:val="doNotCompress"/>
  <w:compat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character" w:default="1" w:styleId="DefaultParagraphFont">
    <w:name w:val="Default Paragraph Fon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webSettings" Target="webSettings.xml"/><Relationship Id="rId3" Type="http://schemas.openxmlformats.org/officeDocument/2006/relationships/fontTable" Target="fontTable.xml"/><Relationship Id="rId4" Type="http://schemas.openxmlformats.org/officeDocument/2006/relationships/styles" Target="style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