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359/2025/NĐ-CP</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 xml:space="preserve">Hà Nội, ngày 31 tháng 12 năm 2025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SỬA ĐỔI, BỔ SUNG MỘT SỐ ĐIỀU CỦA NGHỊ ĐỊNH SỐ 181/2025/NĐ-CP NGÀY 01 THÁNG 7 NĂM 2025 CỦA CHÍNH PHỦ QUY ĐỊNH CHI TIẾT THI HÀNH MỘT SỐ ĐIỀU CỦA LUẬT THUẾ GIÁ TRỊ GIA TĂNG</w:t>
      </w:r>
      <w:bookmarkEnd w:id="1"/>
    </w:p>
    <w:p>
      <w:pPr>
        <w:bidi w:val="0"/>
        <w:spacing w:before="120" w:beforeAutospacing="0" w:after="280" w:afterAutospacing="1"/>
      </w:pPr>
      <w:r>
        <w:rPr>
          <w:i/>
          <w:iCs/>
          <w:rtl w:val="0"/>
        </w:rPr>
        <w:t xml:space="preserve">Căn cứ </w:t>
      </w:r>
      <w:bookmarkStart w:id="2" w:name="tvpllink_oztzitmbya"/>
      <w:r>
        <w:rPr>
          <w:i/>
          <w:iCs/>
          <w:rtl w:val="0"/>
        </w:rPr>
        <w:t>Luật Tổ chức Chính phủ số 63/2025/QH15</w:t>
      </w:r>
      <w:bookmarkEnd w:id="2"/>
      <w:r>
        <w:rPr>
          <w:i/>
          <w:iCs/>
          <w:rtl w:val="0"/>
        </w:rPr>
        <w:t>;</w:t>
      </w:r>
    </w:p>
    <w:p>
      <w:pPr>
        <w:bidi w:val="0"/>
        <w:spacing w:before="120" w:beforeAutospacing="0" w:after="280" w:afterAutospacing="1"/>
      </w:pPr>
      <w:r>
        <w:rPr>
          <w:i/>
          <w:iCs/>
          <w:rtl w:val="0"/>
        </w:rPr>
        <w:t xml:space="preserve">Căn cứ </w:t>
      </w:r>
      <w:bookmarkStart w:id="3" w:name="tvpllink_cfonnkiqjn"/>
      <w:r>
        <w:rPr>
          <w:i/>
          <w:iCs/>
          <w:rtl w:val="0"/>
        </w:rPr>
        <w:t>Luật Thuế giá trị gia tăng số 48/2024/QH15</w:t>
      </w:r>
      <w:bookmarkEnd w:id="3"/>
      <w:r>
        <w:rPr>
          <w:i/>
          <w:iCs/>
          <w:rtl w:val="0"/>
        </w:rPr>
        <w:t xml:space="preserve"> được sửa đổi, bổ sung bởi Luật số </w:t>
      </w:r>
      <w:bookmarkStart w:id="4" w:name="tvpllink_hbwjisyjfg"/>
      <w:r>
        <w:rPr>
          <w:i/>
          <w:iCs/>
          <w:rtl w:val="0"/>
        </w:rPr>
        <w:t>90/2025/QH15</w:t>
      </w:r>
      <w:bookmarkEnd w:id="4"/>
      <w:r>
        <w:rPr>
          <w:i/>
          <w:iCs/>
          <w:rtl w:val="0"/>
        </w:rPr>
        <w:t xml:space="preserve"> và Luật số </w:t>
      </w:r>
      <w:bookmarkStart w:id="5" w:name="tvpllink_rvitzjewwo"/>
      <w:r>
        <w:rPr>
          <w:i/>
          <w:iCs/>
          <w:rtl w:val="0"/>
        </w:rPr>
        <w:t>149/2025/QH15</w:t>
      </w:r>
      <w:bookmarkEnd w:id="5"/>
      <w:r>
        <w:rPr>
          <w:i/>
          <w:iCs/>
          <w:rtl w:val="0"/>
        </w:rPr>
        <w:t>;</w:t>
      </w:r>
    </w:p>
    <w:p>
      <w:pPr>
        <w:bidi w:val="0"/>
        <w:spacing w:before="120" w:beforeAutospacing="0" w:after="280" w:afterAutospacing="1"/>
      </w:pPr>
      <w:r>
        <w:rPr>
          <w:i/>
          <w:iCs/>
          <w:rtl w:val="0"/>
        </w:rPr>
        <w:t>Theo đề nghị của Bộ trưởng Bộ Tài chính;</w:t>
      </w:r>
    </w:p>
    <w:p>
      <w:pPr>
        <w:bidi w:val="0"/>
        <w:spacing w:before="120" w:beforeAutospacing="0" w:after="280" w:afterAutospacing="1"/>
      </w:pPr>
      <w:r>
        <w:rPr>
          <w:i/>
          <w:iCs/>
          <w:rtl w:val="0"/>
        </w:rPr>
        <w:t xml:space="preserve">Chính phủ ban hành Nghị định sửa đổi, bổ sung một số điều của Nghị định số </w:t>
      </w:r>
      <w:bookmarkStart w:id="6" w:name="tvpllink_bzellpxlgq"/>
      <w:r>
        <w:rPr>
          <w:i/>
          <w:iCs/>
          <w:rtl w:val="0"/>
        </w:rPr>
        <w:t>181/2025/NĐ-CP</w:t>
      </w:r>
      <w:bookmarkEnd w:id="6"/>
      <w:r>
        <w:rPr>
          <w:i/>
          <w:iCs/>
          <w:rtl w:val="0"/>
        </w:rPr>
        <w:t xml:space="preserve"> ngày 01 tháng 7 năm 2025 của Chính phủ quy định chi tiết thi hành một số điều của </w:t>
      </w:r>
      <w:bookmarkStart w:id="7" w:name="tvpllink_cfonnkiqjn_1"/>
      <w:r>
        <w:rPr>
          <w:i/>
          <w:iCs/>
          <w:rtl w:val="0"/>
        </w:rPr>
        <w:t>Luật Thuế giá trị gia tăng</w:t>
      </w:r>
      <w:bookmarkEnd w:id="7"/>
      <w:r>
        <w:rPr>
          <w:i/>
          <w:iCs/>
          <w:rtl w:val="0"/>
        </w:rPr>
        <w:t>.</w:t>
      </w:r>
    </w:p>
    <w:p>
      <w:pPr>
        <w:bidi w:val="0"/>
        <w:spacing w:before="120" w:beforeAutospacing="0" w:after="280" w:afterAutospacing="1"/>
      </w:pPr>
      <w:bookmarkStart w:id="8" w:name="dieu_1"/>
      <w:r>
        <w:rPr>
          <w:b/>
          <w:bCs/>
          <w:rtl w:val="0"/>
        </w:rPr>
        <w:t>Điều 1. Sửa đổi, bổ sung một số điều của Nghị định số 181/2025/NĐ-CP ngày 01 tháng 7 năm 2025 của Chính phủ quy định chi tiết thi hành một số điều của Luật Thuế giá trị gia tăng</w:t>
      </w:r>
      <w:bookmarkEnd w:id="8"/>
    </w:p>
    <w:p>
      <w:pPr>
        <w:bidi w:val="0"/>
        <w:spacing w:before="120" w:beforeAutospacing="0" w:after="280" w:afterAutospacing="1"/>
      </w:pPr>
      <w:bookmarkStart w:id="9" w:name="khoan_1_1"/>
      <w:r>
        <w:rPr>
          <w:rtl w:val="0"/>
        </w:rPr>
        <w:t>1. Bổ sung khoản 1b sau</w:t>
      </w:r>
      <w:bookmarkEnd w:id="9"/>
      <w:r>
        <w:rPr>
          <w:rtl w:val="0"/>
        </w:rPr>
        <w:t xml:space="preserve"> </w:t>
      </w:r>
      <w:bookmarkStart w:id="10" w:name="dc_1"/>
      <w:r>
        <w:rPr>
          <w:rtl w:val="0"/>
        </w:rPr>
        <w:t>khoản 1 Điều 4</w:t>
      </w:r>
      <w:bookmarkEnd w:id="10"/>
      <w:r>
        <w:rPr>
          <w:rtl w:val="0"/>
        </w:rPr>
        <w:t xml:space="preserve"> </w:t>
      </w:r>
      <w:bookmarkStart w:id="11" w:name="khoan_1_1_name"/>
      <w:r>
        <w:rPr>
          <w:rtl w:val="0"/>
        </w:rPr>
        <w:t>như sau:</w:t>
      </w:r>
      <w:bookmarkEnd w:id="11"/>
    </w:p>
    <w:p>
      <w:pPr>
        <w:bidi w:val="0"/>
        <w:spacing w:before="120" w:beforeAutospacing="0" w:after="280" w:afterAutospacing="1"/>
      </w:pPr>
      <w:r>
        <w:rPr>
          <w:rtl w:val="0"/>
        </w:rPr>
        <w:t>“1b. Doanh nghiệp, hợp tác xã, liên hiệp hợp tác xã mua sản phẩm cây trồng, rừng trồng, chăn nuôi, thủy sản nuôi trồng, đánh bắt chưa chế biến thành các sản phẩm khác hoặc chỉ qua sơ chế thông thường bán cho doanh nghiệp, hợp tác xã, liên hiệp hợp tác xã khác thì không phải kê khai, tính nộp thuế giá trị gia tăng nhưng được khấu trừ thuế giá trị gia tăng đầu vào.</w:t>
      </w:r>
    </w:p>
    <w:p>
      <w:pPr>
        <w:bidi w:val="0"/>
        <w:spacing w:before="120" w:beforeAutospacing="0" w:after="280" w:afterAutospacing="1"/>
      </w:pPr>
      <w:r>
        <w:rPr>
          <w:rtl w:val="0"/>
        </w:rPr>
        <w:t>Trong đó:</w:t>
      </w:r>
    </w:p>
    <w:p>
      <w:pPr>
        <w:bidi w:val="0"/>
        <w:spacing w:before="120" w:beforeAutospacing="0" w:after="280" w:afterAutospacing="1"/>
      </w:pPr>
      <w:r>
        <w:rPr>
          <w:rtl w:val="0"/>
        </w:rPr>
        <w:t>a) Doanh nghiệp, hợp tác xã, liên hiệp hợp tác xã nộp thuế giá trị gia tăng theo phương pháp khấu trừ thuế bán sản phẩm cây trồng, rừng trồng, chăn nuôi, thủy sản nuôi trồng, đánh bắt chưa chế biến thành các sản phẩm khác hoặc chỉ qua sơ chế thông thường cho doanh nghiệp, hợp tác xã, liên hiệp hợp tác xã khác ở khâu kinh doanh thương mại thì không phải kê khai, tính nộp thuế giá trị gia tăng.</w:t>
      </w:r>
    </w:p>
    <w:p>
      <w:pPr>
        <w:bidi w:val="0"/>
        <w:spacing w:before="120" w:beforeAutospacing="0" w:after="280" w:afterAutospacing="1"/>
      </w:pPr>
      <w:r>
        <w:rPr>
          <w:rtl w:val="0"/>
        </w:rPr>
        <w:t xml:space="preserve">b) Trường hợp doanh nghiệp, hợp tác xã, liên hiệp hợp tác xã nộp thuế giá trị gia tăng theo phương pháp khấu trừ thuế bán sản phẩm cây trồng, rừng trồng, chăn nuôi, thủy sản nuôi trồng, đánh bắt chưa chế biến thành các sản phẩm khác hoặc chỉ qua sơ chế thông thường cho các đối tượng như hộ, cá nhân sản xuất, kinh doanh và các tổ chức, cá nhân khác thì phải tính thuế giá trị gia tăng theo mức thuế suất 5% quy định tại </w:t>
      </w:r>
      <w:bookmarkStart w:id="12" w:name="dc_2"/>
      <w:r>
        <w:rPr>
          <w:rtl w:val="0"/>
        </w:rPr>
        <w:t>khoản 3 Điều 19 Nghị định</w:t>
      </w:r>
      <w:bookmarkEnd w:id="12"/>
      <w:r>
        <w:rPr>
          <w:rtl w:val="0"/>
        </w:rPr>
        <w:t xml:space="preserve"> này.</w:t>
      </w:r>
    </w:p>
    <w:p>
      <w:pPr>
        <w:bidi w:val="0"/>
        <w:spacing w:before="120" w:beforeAutospacing="0" w:after="280" w:afterAutospacing="1"/>
      </w:pPr>
      <w:r>
        <w:rPr>
          <w:rtl w:val="0"/>
        </w:rPr>
        <w:t>c) Hộ, cá nhân sản xuất, kinh doanh, doanh nghiệp, hợp tác xã, liên hiệp hợp tác xã và tổ chức kinh tế khác nộp thuế giá trị gia tăng theo phương pháp tính trực tiếp khi bán sản phẩm cây trồng, rừng trồng, chăn nuôi, thủy sản nuôi trồng, đánh bắt chưa chế biến thành các sản phẩm khác hoặc chỉ qua sơ chế thông thường ở khâu kinh doanh thương mại thì tính thuế giá trị gia tăng phải nộp theo doanh thu bằng 1% (tỷ lệ %) nhân với doanh thu.”</w:t>
      </w:r>
    </w:p>
    <w:p>
      <w:pPr>
        <w:bidi w:val="0"/>
        <w:spacing w:before="120" w:beforeAutospacing="0" w:after="280" w:afterAutospacing="1"/>
      </w:pPr>
      <w:bookmarkStart w:id="13" w:name="khoan_2_1"/>
      <w:r>
        <w:rPr>
          <w:rtl w:val="0"/>
        </w:rPr>
        <w:t>2. Bãi bỏ</w:t>
      </w:r>
      <w:bookmarkEnd w:id="13"/>
      <w:r>
        <w:rPr>
          <w:rtl w:val="0"/>
        </w:rPr>
        <w:t xml:space="preserve"> </w:t>
      </w:r>
      <w:bookmarkStart w:id="14" w:name="dc_3"/>
      <w:r>
        <w:rPr>
          <w:rtl w:val="0"/>
        </w:rPr>
        <w:t>khoản 3 Điều 37 và khoản 3 Điều 39</w:t>
      </w:r>
      <w:bookmarkEnd w:id="14"/>
      <w:r>
        <w:rPr>
          <w:rtl w:val="0"/>
        </w:rPr>
        <w:t>.</w:t>
      </w:r>
    </w:p>
    <w:p>
      <w:pPr>
        <w:bidi w:val="0"/>
        <w:spacing w:before="120" w:beforeAutospacing="0" w:after="280" w:afterAutospacing="1"/>
      </w:pPr>
      <w:bookmarkStart w:id="15" w:name="dieu_2"/>
      <w:r>
        <w:rPr>
          <w:b/>
          <w:bCs/>
          <w:rtl w:val="0"/>
        </w:rPr>
        <w:t>Điều 2. Điều khoản thi hành</w:t>
      </w:r>
      <w:bookmarkEnd w:id="15"/>
    </w:p>
    <w:p>
      <w:pPr>
        <w:bidi w:val="0"/>
        <w:spacing w:before="120" w:beforeAutospacing="0" w:after="280" w:afterAutospacing="1"/>
      </w:pPr>
      <w:r>
        <w:rPr>
          <w:rtl w:val="0"/>
        </w:rPr>
        <w:t>1. Nghị định này có hiệu lực thi hành từ ngày 01 tháng 01 năm 2026.</w:t>
      </w:r>
    </w:p>
    <w:p>
      <w:pPr>
        <w:bidi w:val="0"/>
        <w:spacing w:before="120" w:beforeAutospacing="0" w:after="280" w:afterAutospacing="1"/>
      </w:pPr>
      <w:r>
        <w:rPr>
          <w:rtl w:val="0"/>
        </w:rPr>
        <w:t xml:space="preserve">2. Cơ sở kinh doanh thuộc trường hợp hoàn thuế quy định tại </w:t>
      </w:r>
      <w:bookmarkStart w:id="16" w:name="dc_4"/>
      <w:r>
        <w:rPr>
          <w:rtl w:val="0"/>
        </w:rPr>
        <w:t>Điều 15 Luật Thuế giá trị gia tăng</w:t>
      </w:r>
      <w:bookmarkEnd w:id="16"/>
      <w:r>
        <w:rPr>
          <w:rtl w:val="0"/>
        </w:rPr>
        <w:t xml:space="preserve"> đã nộp hồ sơ hoàn thuế giá trị gia tăng và đã được cơ quan quản lý thuế tiếp nhận trước ngày 01 tháng 01 năm 2026 nhưng cơ quan quản lý thuế chưa ban hành Quyết định hoàn thuế hoặc Quyết định hoàn thuế kiêm bù trừ thu ngân sách nhà nước thì không phải đáp ứng điều kiện người bán đã kê khai, nộp thuế giá trị gia tăng theo quy định đối với hóa đơn đã xuất cho cơ sở kinh doanh đề nghị hoàn thuế.</w:t>
      </w:r>
    </w:p>
    <w:p>
      <w:pPr>
        <w:bidi w:val="0"/>
        <w:spacing w:before="120" w:beforeAutospacing="0" w:after="280" w:afterAutospacing="1"/>
      </w:pPr>
      <w:r>
        <w:rPr>
          <w:rtl w:val="0"/>
        </w:rPr>
        <w:t>3. 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562"/>
        <w:gridCol w:w="4078"/>
      </w:tblGrid>
      <w:tr>
        <w:tblPrEx>
          <w:jc w:val="left"/>
          <w:tblCellMar>
            <w:top w:w="0" w:type="dxa"/>
            <w:left w:w="0" w:type="dxa"/>
            <w:bottom w:w="0" w:type="dxa"/>
            <w:right w:w="0" w:type="dxa"/>
          </w:tblCellMar>
        </w:tblPrEx>
        <w:trPr>
          <w:jc w:val="left"/>
        </w:trPr>
        <w:tc>
          <w:tcPr>
            <w:tcW w:w="470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 cơ quan thuộc Chính phủ;</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 - xã hội;</w:t>
            </w:r>
            <w:r>
              <w:rPr>
                <w:sz w:val="16"/>
                <w:rtl w:val="0"/>
              </w:rPr>
              <w:br/>
            </w:r>
            <w:r>
              <w:rPr>
                <w:sz w:val="16"/>
                <w:rtl w:val="0"/>
              </w:rPr>
              <w:t>- VPCP: BTCN, các PCN, Trợ lý TTg, TGĐ Cổng TTĐT, các Vụ, Cục, đơn vị trực thuộc, Công báo;</w:t>
            </w:r>
            <w:r>
              <w:rPr>
                <w:sz w:val="16"/>
                <w:rtl w:val="0"/>
              </w:rPr>
              <w:br/>
            </w:r>
            <w:r>
              <w:rPr>
                <w:sz w:val="16"/>
                <w:rtl w:val="0"/>
              </w:rPr>
              <w:t xml:space="preserve">- Lưu: VT, KTTH (2b). </w:t>
            </w:r>
          </w:p>
        </w:tc>
        <w:tc>
          <w:tcPr>
            <w:tcW w:w="41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 xml:space="preserve">TM. CHÍNH PHỦ </w:t>
            </w:r>
            <w:r>
              <w:rPr>
                <w:b/>
                <w:bCs/>
                <w:rtl w:val="0"/>
              </w:rPr>
              <w:br/>
            </w:r>
            <w:r>
              <w:rPr>
                <w:b/>
                <w:bCs/>
                <w:rtl w:val="0"/>
              </w:rPr>
              <w:t xml:space="preserve">KT. THỦ TƯỚNG </w:t>
            </w:r>
            <w:r>
              <w:rPr>
                <w:b/>
                <w:bCs/>
                <w:rtl w:val="0"/>
              </w:rPr>
              <w:br/>
            </w:r>
            <w:r>
              <w:rPr>
                <w:b/>
                <w:bCs/>
                <w:rtl w:val="0"/>
              </w:rPr>
              <w:t>PHÓ THỦ TƯỚNG</w:t>
            </w:r>
            <w:r>
              <w:rPr>
                <w:b/>
                <w:bCs/>
                <w:rtl w:val="0"/>
              </w:rPr>
              <w:br/>
            </w:r>
            <w:r>
              <w:rPr>
                <w:b/>
                <w:bCs/>
                <w:rtl w:val="0"/>
              </w:rPr>
              <w:br/>
            </w:r>
            <w:r>
              <w:rPr>
                <w:b/>
                <w:bCs/>
                <w:rtl w:val="0"/>
              </w:rPr>
              <w:br/>
            </w:r>
            <w:r>
              <w:rPr>
                <w:b/>
                <w:bCs/>
                <w:rtl w:val="0"/>
              </w:rPr>
              <w:br/>
            </w:r>
            <w:r>
              <w:rPr>
                <w:b/>
                <w:bCs/>
                <w:rtl w:val="0"/>
              </w:rPr>
              <w:br/>
            </w:r>
            <w:r>
              <w:rPr>
                <w:b/>
                <w:bCs/>
                <w:rtl w:val="0"/>
              </w:rPr>
              <w:t>Hồ Đức Phớc</w:t>
            </w:r>
          </w:p>
        </w:tc>
      </w:tr>
    </w:tbl>
    <w:p>
      <w:pPr>
        <w:bidi w:val="0"/>
        <w:spacing w:before="120" w:beforeAutospacing="0" w:after="280" w:afterAutospacing="1"/>
      </w:pPr>
      <w:r>
        <w:rPr>
          <w:rtl w:val="0"/>
        </w:rPr>
        <w:t> </w:t>
      </w:r>
    </w:p>
    <w:p>
      <w:pPr>
        <w:bidi w:val="0"/>
        <w:spacing w:before="120" w:beforeAutospacing="0" w:after="280" w:afterAutospacing="1"/>
        <w:jc w:val="center"/>
      </w:pPr>
      <w:r>
        <w:rPr>
          <w:rtl w:val="0"/>
        </w:rPr>
        <w:t> </w:t>
      </w:r>
    </w:p>
    <w:sectPr>
      <w:footerReference w:type="default" r:id="rId5"/>
      <w:footerReference w:type="first" r:id="rId6"/>
      <w:footerReference w:type="even" r:id="rId7"/>
      <w:pgMar w:header="720" w:footer="720"/>
      <w:cols w:space="720"/>
    </w:sectPr>
  </w:body>
</w:document>
</file>

<file path=word/fontTable.xml><?xml version="1.0" encoding="utf-8"?>
<w:fonts xmlns:r="http://schemas.openxmlformats.org/officeDocument/2006/relationships" xmlns:w="http://schemas.openxmlformats.org/wordprocessingml/2006/main"/>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i/>
        <w:color w:val="64748B"/>
        <w:sz w:val="16"/>
      </w:rPr>
      <w:t>SPRINGO CO.,LTD | 0969 798 944 | 0984 394 338 | WEB: hrspring.vn | YT: @quantrinhansuphattrientochuc</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i/>
        <w:color w:val="64748B"/>
        <w:sz w:val="16"/>
      </w:rPr>
      <w:t>SPRINGO CO.,LTD | 0969 798 944 | 0984 394 338 | WEB: hrspring.vn | YT: @quantrinhansuphattrientochuc</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i/>
        <w:color w:val="64748B"/>
        <w:sz w:val="16"/>
      </w:rPr>
      <w:t>SPRINGO CO.,LTD | 0969 798 944 | 0984 394 338 | WEB: hrspring.vn | YT: @quantrinhansuphattrientochuc</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webSettings" Target="webSettings.xml"/><Relationship Id="rId3" Type="http://schemas.openxmlformats.org/officeDocument/2006/relationships/fontTable" Target="fontTable.xml"/><Relationship Id="rId4" Type="http://schemas.openxmlformats.org/officeDocument/2006/relationships/styles" Target="style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